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98BE" w14:textId="77777777" w:rsidR="00F279A6" w:rsidRPr="002952CC" w:rsidRDefault="00F279A6" w:rsidP="00F279A6">
      <w:pPr>
        <w:spacing w:line="480" w:lineRule="auto"/>
        <w:jc w:val="center"/>
        <w:rPr>
          <w:rFonts w:ascii="Times New Roman" w:hAnsi="Times New Roman" w:cs="Times New Roman"/>
        </w:rPr>
      </w:pPr>
    </w:p>
    <w:p w14:paraId="75FF6AEE" w14:textId="77777777" w:rsidR="00F279A6" w:rsidRPr="002952CC" w:rsidRDefault="00F279A6" w:rsidP="00F279A6">
      <w:pPr>
        <w:spacing w:line="480" w:lineRule="auto"/>
        <w:jc w:val="center"/>
        <w:rPr>
          <w:rFonts w:ascii="Times New Roman" w:hAnsi="Times New Roman" w:cs="Times New Roman"/>
        </w:rPr>
      </w:pPr>
    </w:p>
    <w:p w14:paraId="01410E7E" w14:textId="77777777" w:rsidR="00F279A6" w:rsidRPr="002952CC" w:rsidRDefault="00F279A6" w:rsidP="00F279A6">
      <w:pPr>
        <w:spacing w:line="480" w:lineRule="auto"/>
        <w:jc w:val="center"/>
        <w:rPr>
          <w:rFonts w:ascii="Times New Roman" w:hAnsi="Times New Roman" w:cs="Times New Roman"/>
        </w:rPr>
      </w:pPr>
    </w:p>
    <w:p w14:paraId="1AEC69DE" w14:textId="77777777" w:rsidR="00F279A6" w:rsidRPr="002952CC" w:rsidRDefault="00F279A6" w:rsidP="00F279A6">
      <w:pPr>
        <w:spacing w:line="480" w:lineRule="auto"/>
        <w:jc w:val="center"/>
        <w:rPr>
          <w:rFonts w:ascii="Times New Roman" w:hAnsi="Times New Roman" w:cs="Times New Roman"/>
        </w:rPr>
      </w:pPr>
    </w:p>
    <w:p w14:paraId="5122AD05" w14:textId="77777777" w:rsidR="00F279A6" w:rsidRPr="002952CC" w:rsidRDefault="00F279A6" w:rsidP="00F279A6">
      <w:pPr>
        <w:spacing w:line="480" w:lineRule="auto"/>
        <w:jc w:val="center"/>
        <w:rPr>
          <w:rFonts w:ascii="Times New Roman" w:hAnsi="Times New Roman" w:cs="Times New Roman"/>
        </w:rPr>
      </w:pPr>
    </w:p>
    <w:p w14:paraId="466F0309" w14:textId="77777777" w:rsidR="00EC3A63" w:rsidRDefault="00EC3A63" w:rsidP="00F279A6">
      <w:pPr>
        <w:spacing w:line="480" w:lineRule="auto"/>
        <w:jc w:val="center"/>
        <w:rPr>
          <w:rFonts w:ascii="Times New Roman" w:hAnsi="Times New Roman" w:cs="Times New Roman"/>
          <w:b/>
          <w:bCs/>
        </w:rPr>
      </w:pPr>
    </w:p>
    <w:p w14:paraId="08689A27" w14:textId="77777777" w:rsidR="00EC3A63" w:rsidRDefault="00EC3A63" w:rsidP="00F279A6">
      <w:pPr>
        <w:spacing w:line="480" w:lineRule="auto"/>
        <w:jc w:val="center"/>
        <w:rPr>
          <w:rFonts w:ascii="Times New Roman" w:hAnsi="Times New Roman" w:cs="Times New Roman"/>
          <w:b/>
          <w:bCs/>
        </w:rPr>
      </w:pPr>
    </w:p>
    <w:p w14:paraId="314DEC22" w14:textId="2BD43E59" w:rsidR="00F279A6" w:rsidRPr="00EC3A63" w:rsidRDefault="00F279A6" w:rsidP="00F279A6">
      <w:pPr>
        <w:spacing w:line="480" w:lineRule="auto"/>
        <w:jc w:val="center"/>
        <w:rPr>
          <w:rFonts w:ascii="Times New Roman" w:hAnsi="Times New Roman" w:cs="Times New Roman"/>
          <w:b/>
          <w:bCs/>
        </w:rPr>
      </w:pPr>
      <w:r w:rsidRPr="00EC3A63">
        <w:rPr>
          <w:rFonts w:ascii="Times New Roman" w:hAnsi="Times New Roman" w:cs="Times New Roman"/>
          <w:b/>
          <w:bCs/>
        </w:rPr>
        <w:t>Survey Results for AI Proficiency and Impact in Black Communities</w:t>
      </w:r>
    </w:p>
    <w:p w14:paraId="15689F82" w14:textId="6D8C3BE4" w:rsidR="00F279A6" w:rsidRPr="002952CC" w:rsidRDefault="00F279A6" w:rsidP="00F279A6">
      <w:pPr>
        <w:spacing w:line="480" w:lineRule="auto"/>
        <w:jc w:val="center"/>
        <w:rPr>
          <w:rFonts w:ascii="Times New Roman" w:hAnsi="Times New Roman" w:cs="Times New Roman"/>
        </w:rPr>
      </w:pPr>
      <w:r w:rsidRPr="002952CC">
        <w:rPr>
          <w:rFonts w:ascii="Times New Roman" w:hAnsi="Times New Roman" w:cs="Times New Roman"/>
        </w:rPr>
        <w:t>Marcus Taylor</w:t>
      </w:r>
    </w:p>
    <w:p w14:paraId="69BBF8D1" w14:textId="77777777" w:rsidR="00F279A6" w:rsidRPr="002952CC" w:rsidRDefault="00F279A6" w:rsidP="00F279A6">
      <w:pPr>
        <w:spacing w:line="480" w:lineRule="auto"/>
        <w:jc w:val="center"/>
        <w:rPr>
          <w:rFonts w:ascii="Times New Roman" w:hAnsi="Times New Roman" w:cs="Times New Roman"/>
        </w:rPr>
      </w:pPr>
      <w:r w:rsidRPr="002952CC">
        <w:rPr>
          <w:rFonts w:ascii="Times New Roman" w:hAnsi="Times New Roman" w:cs="Times New Roman"/>
        </w:rPr>
        <w:t>University of North Texas</w:t>
      </w:r>
    </w:p>
    <w:p w14:paraId="6B456BC6" w14:textId="5DB5F1FC" w:rsidR="00F279A6" w:rsidRPr="002952CC" w:rsidRDefault="00F279A6" w:rsidP="00F279A6">
      <w:pPr>
        <w:spacing w:line="480" w:lineRule="auto"/>
        <w:jc w:val="center"/>
        <w:rPr>
          <w:rFonts w:ascii="Times New Roman" w:hAnsi="Times New Roman" w:cs="Times New Roman"/>
        </w:rPr>
      </w:pPr>
      <w:r w:rsidRPr="002952CC">
        <w:rPr>
          <w:rFonts w:ascii="Times New Roman" w:hAnsi="Times New Roman" w:cs="Times New Roman"/>
        </w:rPr>
        <w:t xml:space="preserve">LTEC 6511: </w:t>
      </w:r>
      <w:r w:rsidR="001C7FAC" w:rsidRPr="001C7FAC">
        <w:rPr>
          <w:rFonts w:ascii="Times New Roman" w:hAnsi="Times New Roman" w:cs="Times New Roman"/>
        </w:rPr>
        <w:t>Analysis of Research in Learning Technologies</w:t>
      </w:r>
    </w:p>
    <w:p w14:paraId="614482D0" w14:textId="77777777" w:rsidR="00F279A6" w:rsidRPr="002952CC" w:rsidRDefault="00F279A6" w:rsidP="00F279A6">
      <w:pPr>
        <w:spacing w:line="480" w:lineRule="auto"/>
        <w:jc w:val="center"/>
        <w:rPr>
          <w:rFonts w:ascii="Times New Roman" w:hAnsi="Times New Roman" w:cs="Times New Roman"/>
        </w:rPr>
      </w:pPr>
      <w:r w:rsidRPr="002952CC">
        <w:rPr>
          <w:rFonts w:ascii="Times New Roman" w:hAnsi="Times New Roman" w:cs="Times New Roman"/>
        </w:rPr>
        <w:t>Dr. Gerald Knezek</w:t>
      </w:r>
    </w:p>
    <w:p w14:paraId="1C5B5762" w14:textId="67268326" w:rsidR="00F279A6" w:rsidRPr="002952CC" w:rsidRDefault="00F279A6" w:rsidP="00F279A6">
      <w:pPr>
        <w:spacing w:line="480" w:lineRule="auto"/>
        <w:jc w:val="center"/>
        <w:rPr>
          <w:rFonts w:ascii="Times New Roman" w:hAnsi="Times New Roman" w:cs="Times New Roman"/>
        </w:rPr>
      </w:pPr>
      <w:r w:rsidRPr="002952CC">
        <w:rPr>
          <w:rFonts w:ascii="Times New Roman" w:hAnsi="Times New Roman" w:cs="Times New Roman"/>
        </w:rPr>
        <w:t>November 24, 2024</w:t>
      </w:r>
    </w:p>
    <w:p w14:paraId="3208E297" w14:textId="6211BA21" w:rsidR="00F279A6" w:rsidRPr="002952CC" w:rsidRDefault="00F279A6">
      <w:pPr>
        <w:rPr>
          <w:rFonts w:ascii="Times New Roman" w:hAnsi="Times New Roman" w:cs="Times New Roman"/>
        </w:rPr>
      </w:pPr>
      <w:r w:rsidRPr="002952CC">
        <w:rPr>
          <w:rFonts w:ascii="Times New Roman" w:hAnsi="Times New Roman" w:cs="Times New Roman"/>
        </w:rPr>
        <w:br w:type="page"/>
      </w:r>
    </w:p>
    <w:p w14:paraId="30B5FD16" w14:textId="77777777" w:rsidR="00F279A6" w:rsidRPr="00F279A6" w:rsidRDefault="00F279A6" w:rsidP="00F279A6">
      <w:pPr>
        <w:rPr>
          <w:rFonts w:ascii="Times New Roman" w:hAnsi="Times New Roman" w:cs="Times New Roman"/>
          <w:b/>
          <w:bCs/>
        </w:rPr>
      </w:pPr>
      <w:r w:rsidRPr="00F279A6">
        <w:rPr>
          <w:rFonts w:ascii="Times New Roman" w:hAnsi="Times New Roman" w:cs="Times New Roman"/>
          <w:b/>
          <w:bCs/>
        </w:rPr>
        <w:lastRenderedPageBreak/>
        <w:t>Abstract</w:t>
      </w:r>
    </w:p>
    <w:p w14:paraId="50BB09F6" w14:textId="77777777" w:rsidR="00F279A6" w:rsidRPr="00F279A6" w:rsidRDefault="00F279A6" w:rsidP="00F279A6">
      <w:pPr>
        <w:rPr>
          <w:rFonts w:ascii="Times New Roman" w:hAnsi="Times New Roman" w:cs="Times New Roman"/>
        </w:rPr>
      </w:pPr>
      <w:r w:rsidRPr="00F279A6">
        <w:rPr>
          <w:rFonts w:ascii="Times New Roman" w:hAnsi="Times New Roman" w:cs="Times New Roman"/>
        </w:rPr>
        <w:t>Artificial intelligence (AI) is transforming societies, yet its rapid development may exacerbate existing inequalities, particularly in Black communities. This report presents findings from the survey Artificial Intelligence and the Digital Divide: A Survey on AI Proficiency and Impact in Black Communities, designed to explore perceptions, experiences, and challenges faced by Black Americans concerning AI. The survey investigates access to AI tools, barriers to AI education, and AI's role in social justice, economic gaps, and job opportunities.</w:t>
      </w:r>
    </w:p>
    <w:p w14:paraId="0CB09039" w14:textId="77777777" w:rsidR="00F279A6" w:rsidRPr="00F279A6" w:rsidRDefault="00F279A6" w:rsidP="00F279A6">
      <w:pPr>
        <w:rPr>
          <w:rFonts w:ascii="Times New Roman" w:hAnsi="Times New Roman" w:cs="Times New Roman"/>
          <w:b/>
          <w:bCs/>
        </w:rPr>
      </w:pPr>
      <w:r w:rsidRPr="00F279A6">
        <w:rPr>
          <w:rFonts w:ascii="Times New Roman" w:hAnsi="Times New Roman" w:cs="Times New Roman"/>
          <w:b/>
          <w:bCs/>
        </w:rPr>
        <w:t>Introduction</w:t>
      </w:r>
    </w:p>
    <w:p w14:paraId="757184A0" w14:textId="77777777" w:rsidR="00884E60" w:rsidRPr="00884E60" w:rsidRDefault="00884E60" w:rsidP="00884E60">
      <w:pPr>
        <w:rPr>
          <w:rFonts w:ascii="Times New Roman" w:hAnsi="Times New Roman" w:cs="Times New Roman"/>
        </w:rPr>
      </w:pPr>
      <w:r w:rsidRPr="00884E60">
        <w:rPr>
          <w:rFonts w:ascii="Times New Roman" w:hAnsi="Times New Roman" w:cs="Times New Roman"/>
        </w:rPr>
        <w:t>The rapid advancement of artificial intelligence (AI) technologies presents both opportunities and challenges for historically marginalized communities. As AI becomes increasingly integrated into daily life, understanding its impact on Black communities becomes crucial for addressing potential disparities and ensuring equitable access to these transformative technologies.</w:t>
      </w:r>
    </w:p>
    <w:p w14:paraId="78E59C78" w14:textId="77777777" w:rsidR="00884E60" w:rsidRDefault="00884E60" w:rsidP="00884E60">
      <w:pPr>
        <w:rPr>
          <w:rFonts w:ascii="Times New Roman" w:hAnsi="Times New Roman" w:cs="Times New Roman"/>
        </w:rPr>
      </w:pPr>
      <w:r w:rsidRPr="00884E60">
        <w:rPr>
          <w:rFonts w:ascii="Times New Roman" w:hAnsi="Times New Roman" w:cs="Times New Roman"/>
        </w:rPr>
        <w:t xml:space="preserve">Our investigation builds upon the Technology Proficiency Self-Assessment for 21st Century Learning (TPSA C21), adapting it to address culturally specific concerns within Black communities. Through this lens, we examine three key areas: access to AI tools and education, societal impacts, and systemic </w:t>
      </w:r>
    </w:p>
    <w:p w14:paraId="1EF9DFF2" w14:textId="2707FF9B" w:rsidR="00884E60" w:rsidRDefault="00884E60" w:rsidP="00884E60">
      <w:pPr>
        <w:rPr>
          <w:rFonts w:ascii="Times New Roman" w:hAnsi="Times New Roman" w:cs="Times New Roman"/>
        </w:rPr>
      </w:pPr>
      <w:r w:rsidRPr="00884E60">
        <w:rPr>
          <w:rFonts w:ascii="Times New Roman" w:hAnsi="Times New Roman" w:cs="Times New Roman"/>
        </w:rPr>
        <w:t>barriers.</w:t>
      </w:r>
    </w:p>
    <w:p w14:paraId="13D89749" w14:textId="77777777" w:rsidR="00F279A6" w:rsidRPr="00F279A6" w:rsidRDefault="00F279A6" w:rsidP="00F279A6">
      <w:pPr>
        <w:jc w:val="center"/>
        <w:rPr>
          <w:rFonts w:ascii="Times New Roman" w:hAnsi="Times New Roman" w:cs="Times New Roman"/>
          <w:b/>
          <w:bCs/>
        </w:rPr>
      </w:pPr>
      <w:r w:rsidRPr="00F279A6">
        <w:rPr>
          <w:rFonts w:ascii="Times New Roman" w:hAnsi="Times New Roman" w:cs="Times New Roman"/>
          <w:b/>
          <w:bCs/>
        </w:rPr>
        <w:t>Methodology</w:t>
      </w:r>
    </w:p>
    <w:p w14:paraId="05FDB076" w14:textId="77777777" w:rsidR="00884E60" w:rsidRPr="00884E60" w:rsidRDefault="00884E60" w:rsidP="00884E60">
      <w:pPr>
        <w:rPr>
          <w:rFonts w:ascii="Times New Roman" w:hAnsi="Times New Roman" w:cs="Times New Roman"/>
          <w:b/>
          <w:bCs/>
        </w:rPr>
      </w:pPr>
      <w:r w:rsidRPr="00884E60">
        <w:rPr>
          <w:rFonts w:ascii="Times New Roman" w:hAnsi="Times New Roman" w:cs="Times New Roman"/>
          <w:b/>
          <w:bCs/>
        </w:rPr>
        <w:t>Participant Recruitment and Sample</w:t>
      </w:r>
    </w:p>
    <w:p w14:paraId="70674D78" w14:textId="2A9C0CE2" w:rsidR="00884E60" w:rsidRPr="00884E60" w:rsidRDefault="00884E60" w:rsidP="00884E60">
      <w:pPr>
        <w:rPr>
          <w:rFonts w:ascii="Times New Roman" w:hAnsi="Times New Roman" w:cs="Times New Roman"/>
        </w:rPr>
      </w:pPr>
      <w:r w:rsidRPr="00884E60">
        <w:rPr>
          <w:rFonts w:ascii="Times New Roman" w:hAnsi="Times New Roman" w:cs="Times New Roman"/>
        </w:rPr>
        <w:t>We distributed our survey through established networks within historically Black fraternities (Kappa Alpha Psi), sororities (Alpha Kappa Alpha, Delta Sigma Theta), and professional circles. After data cleaning, our final sample comprised 90 respondents representing diverse demographic backgrounds.</w:t>
      </w:r>
    </w:p>
    <w:p w14:paraId="1352B01E" w14:textId="10CAA7E6" w:rsidR="00F279A6" w:rsidRPr="00F279A6" w:rsidRDefault="00884E60" w:rsidP="00F279A6">
      <w:pPr>
        <w:rPr>
          <w:rFonts w:ascii="Times New Roman" w:hAnsi="Times New Roman" w:cs="Times New Roman"/>
          <w:b/>
          <w:bCs/>
        </w:rPr>
      </w:pPr>
      <w:r>
        <w:rPr>
          <w:rFonts w:ascii="Times New Roman" w:hAnsi="Times New Roman" w:cs="Times New Roman"/>
          <w:b/>
          <w:bCs/>
        </w:rPr>
        <w:t xml:space="preserve">Survey </w:t>
      </w:r>
      <w:r w:rsidR="00F279A6" w:rsidRPr="00F279A6">
        <w:rPr>
          <w:rFonts w:ascii="Times New Roman" w:hAnsi="Times New Roman" w:cs="Times New Roman"/>
          <w:b/>
          <w:bCs/>
        </w:rPr>
        <w:t>Instrument</w:t>
      </w:r>
    </w:p>
    <w:p w14:paraId="663B39AD" w14:textId="6CC81B28" w:rsidR="00F279A6" w:rsidRPr="00F279A6" w:rsidRDefault="00F279A6" w:rsidP="00F279A6">
      <w:pPr>
        <w:rPr>
          <w:rFonts w:ascii="Times New Roman" w:hAnsi="Times New Roman" w:cs="Times New Roman"/>
        </w:rPr>
      </w:pPr>
      <w:r w:rsidRPr="002952CC">
        <w:rPr>
          <w:rFonts w:ascii="Times New Roman" w:hAnsi="Times New Roman" w:cs="Times New Roman"/>
        </w:rPr>
        <w:t>Artificial Intelligence and the Digital Divide: A Survey on AI Proficiency and Impact in Black Communities was adapted from the Technology Proficiency Self-Assessment for 21st Century Learning (TPSA C21 instrument.  The instrument explores Black Americans’ perception of AI as it relates to the digital divide with questions on</w:t>
      </w:r>
      <w:r w:rsidR="00DD7ECE" w:rsidRPr="002952CC">
        <w:rPr>
          <w:rFonts w:ascii="Times New Roman" w:hAnsi="Times New Roman" w:cs="Times New Roman"/>
        </w:rPr>
        <w:t xml:space="preserve"> </w:t>
      </w:r>
      <w:r w:rsidRPr="00F279A6">
        <w:rPr>
          <w:rFonts w:ascii="Times New Roman" w:hAnsi="Times New Roman" w:cs="Times New Roman"/>
        </w:rPr>
        <w:t>10 Likert-scale items (1 = Strongly Disagree, 5 = Strongly Agree) focused on AI-related perceptions</w:t>
      </w:r>
      <w:r w:rsidR="00DD7ECE" w:rsidRPr="002952CC">
        <w:rPr>
          <w:rFonts w:ascii="Times New Roman" w:hAnsi="Times New Roman" w:cs="Times New Roman"/>
        </w:rPr>
        <w:t xml:space="preserve"> and</w:t>
      </w:r>
      <w:r w:rsidRPr="00F279A6">
        <w:rPr>
          <w:rFonts w:ascii="Times New Roman" w:hAnsi="Times New Roman" w:cs="Times New Roman"/>
        </w:rPr>
        <w:t xml:space="preserve"> demographic questions on age, education, race, and gender. Topics included:</w:t>
      </w:r>
    </w:p>
    <w:p w14:paraId="09208655" w14:textId="77777777" w:rsidR="00F279A6" w:rsidRPr="00F279A6" w:rsidRDefault="00F279A6" w:rsidP="00F279A6">
      <w:pPr>
        <w:numPr>
          <w:ilvl w:val="0"/>
          <w:numId w:val="1"/>
        </w:numPr>
        <w:rPr>
          <w:rFonts w:ascii="Times New Roman" w:hAnsi="Times New Roman" w:cs="Times New Roman"/>
        </w:rPr>
      </w:pPr>
      <w:r w:rsidRPr="00F279A6">
        <w:rPr>
          <w:rFonts w:ascii="Times New Roman" w:hAnsi="Times New Roman" w:cs="Times New Roman"/>
        </w:rPr>
        <w:t>Access to AI tools and education.</w:t>
      </w:r>
    </w:p>
    <w:p w14:paraId="3FCE0E3F" w14:textId="77777777" w:rsidR="00F279A6" w:rsidRPr="00F279A6" w:rsidRDefault="00F279A6" w:rsidP="00F279A6">
      <w:pPr>
        <w:numPr>
          <w:ilvl w:val="0"/>
          <w:numId w:val="1"/>
        </w:numPr>
        <w:rPr>
          <w:rFonts w:ascii="Times New Roman" w:hAnsi="Times New Roman" w:cs="Times New Roman"/>
        </w:rPr>
      </w:pPr>
      <w:r w:rsidRPr="00F279A6">
        <w:rPr>
          <w:rFonts w:ascii="Times New Roman" w:hAnsi="Times New Roman" w:cs="Times New Roman"/>
        </w:rPr>
        <w:t>Societal impacts, including job opportunities and social justice.</w:t>
      </w:r>
    </w:p>
    <w:p w14:paraId="5F055689" w14:textId="77777777" w:rsidR="00F279A6" w:rsidRPr="00F279A6" w:rsidRDefault="00F279A6" w:rsidP="00F279A6">
      <w:pPr>
        <w:numPr>
          <w:ilvl w:val="0"/>
          <w:numId w:val="1"/>
        </w:numPr>
        <w:rPr>
          <w:rFonts w:ascii="Times New Roman" w:hAnsi="Times New Roman" w:cs="Times New Roman"/>
        </w:rPr>
      </w:pPr>
      <w:r w:rsidRPr="00F279A6">
        <w:rPr>
          <w:rFonts w:ascii="Times New Roman" w:hAnsi="Times New Roman" w:cs="Times New Roman"/>
        </w:rPr>
        <w:t>Barriers and biases in AI systems.</w:t>
      </w:r>
    </w:p>
    <w:p w14:paraId="6AD5A2D4" w14:textId="5D66188B" w:rsidR="00F279A6" w:rsidRPr="00F279A6" w:rsidRDefault="00F279A6" w:rsidP="00F279A6">
      <w:pPr>
        <w:numPr>
          <w:ilvl w:val="0"/>
          <w:numId w:val="1"/>
        </w:numPr>
        <w:rPr>
          <w:rFonts w:ascii="Times New Roman" w:hAnsi="Times New Roman" w:cs="Times New Roman"/>
        </w:rPr>
      </w:pPr>
      <w:r w:rsidRPr="00F279A6">
        <w:rPr>
          <w:rFonts w:ascii="Times New Roman" w:hAnsi="Times New Roman" w:cs="Times New Roman"/>
        </w:rPr>
        <w:t xml:space="preserve">Representation of Black voices in AI </w:t>
      </w:r>
      <w:r w:rsidR="00DD7ECE" w:rsidRPr="002952CC">
        <w:rPr>
          <w:rFonts w:ascii="Times New Roman" w:hAnsi="Times New Roman" w:cs="Times New Roman"/>
        </w:rPr>
        <w:t>policymaking</w:t>
      </w:r>
      <w:r w:rsidRPr="00F279A6">
        <w:rPr>
          <w:rFonts w:ascii="Times New Roman" w:hAnsi="Times New Roman" w:cs="Times New Roman"/>
        </w:rPr>
        <w:t>.</w:t>
      </w:r>
    </w:p>
    <w:p w14:paraId="1F0044A6"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The reliability analysis conducted on the scale measuring access to digital resources and barriers shows a Cronbach’s Alpha of 0.834. According to DeVellis (2003), </w:t>
      </w:r>
      <w:proofErr w:type="gramStart"/>
      <w:r w:rsidRPr="002952CC">
        <w:rPr>
          <w:rFonts w:ascii="Times New Roman" w:hAnsi="Times New Roman" w:cs="Times New Roman"/>
        </w:rPr>
        <w:t>a Cronbach's</w:t>
      </w:r>
      <w:proofErr w:type="gramEnd"/>
      <w:r w:rsidRPr="002952CC">
        <w:rPr>
          <w:rFonts w:ascii="Times New Roman" w:hAnsi="Times New Roman" w:cs="Times New Roman"/>
        </w:rPr>
        <w:t xml:space="preserve"> Alpha value between 0.7 and 0.8 is generally considered acceptable, and a value above 0.8 is good, indicating high internal consistency. Therefore, the alpha value of 0.834 suggests that the items used in this analysis reliably measure the same underlying construct, and the scale can be considered robust for further research or applications. </w:t>
      </w:r>
      <w:r w:rsidRPr="002952CC">
        <w:rPr>
          <w:rFonts w:ascii="Times New Roman" w:hAnsi="Times New Roman" w:cs="Times New Roman"/>
        </w:rPr>
        <w:lastRenderedPageBreak/>
        <w:t>Additionally, the scale exhibits good internal consistency, as removing any individual item does not significantly improve or reduce reliability.</w:t>
      </w:r>
    </w:p>
    <w:p w14:paraId="67B9ABF8" w14:textId="77777777" w:rsidR="00DD7ECE" w:rsidRDefault="00DD7ECE" w:rsidP="00DD7ECE">
      <w:pPr>
        <w:pStyle w:val="Heading1"/>
        <w:spacing w:before="1"/>
        <w:rPr>
          <w:rFonts w:ascii="Times New Roman" w:hAnsi="Times New Roman" w:cs="Times New Roman"/>
          <w:b/>
          <w:bCs/>
          <w:color w:val="auto"/>
          <w:sz w:val="24"/>
          <w:szCs w:val="24"/>
        </w:rPr>
      </w:pPr>
      <w:r w:rsidRPr="002952CC">
        <w:rPr>
          <w:rFonts w:ascii="Times New Roman" w:hAnsi="Times New Roman" w:cs="Times New Roman"/>
          <w:b/>
          <w:bCs/>
          <w:color w:val="auto"/>
          <w:sz w:val="24"/>
          <w:szCs w:val="24"/>
        </w:rPr>
        <w:t>Descriptives</w:t>
      </w:r>
    </w:p>
    <w:p w14:paraId="2343B177" w14:textId="3FB45B5A" w:rsidR="00884E60" w:rsidRPr="00884E60" w:rsidRDefault="00884E60" w:rsidP="00884E60">
      <w:pPr>
        <w:rPr>
          <w:rFonts w:ascii="Times New Roman" w:hAnsi="Times New Roman" w:cs="Times New Roman"/>
          <w:sz w:val="24"/>
          <w:szCs w:val="24"/>
        </w:rPr>
      </w:pPr>
      <w:r w:rsidRPr="00884E60">
        <w:rPr>
          <w:rFonts w:ascii="Times New Roman" w:hAnsi="Times New Roman" w:cs="Times New Roman"/>
          <w:sz w:val="24"/>
          <w:szCs w:val="24"/>
        </w:rPr>
        <w:t>Initial analysis of response patterns revealed interesting trends across the survey items. Mean scores varied considerably, with some items showing strong agreement while others reflected more neutral or concerned perspectives.</w:t>
      </w:r>
    </w:p>
    <w:p w14:paraId="4FC2BCAB" w14:textId="1D4F6C21" w:rsidR="00884E60" w:rsidRPr="00E57AC4" w:rsidRDefault="00884E60" w:rsidP="00884E60">
      <w:pPr>
        <w:rPr>
          <w:rFonts w:ascii="Times New Roman" w:hAnsi="Times New Roman" w:cs="Times New Roman"/>
          <w:b/>
          <w:bCs/>
          <w:sz w:val="24"/>
          <w:szCs w:val="24"/>
        </w:rPr>
      </w:pPr>
      <w:r w:rsidRPr="00E57AC4">
        <w:rPr>
          <w:rFonts w:ascii="Times New Roman" w:hAnsi="Times New Roman" w:cs="Times New Roman"/>
          <w:b/>
          <w:bCs/>
          <w:sz w:val="24"/>
          <w:szCs w:val="24"/>
        </w:rPr>
        <w:t>Table 3: Descriptive Statistics for Survey Items</w:t>
      </w:r>
    </w:p>
    <w:p w14:paraId="0D1153F1" w14:textId="24F27748" w:rsidR="00DD7ECE" w:rsidRPr="002952CC" w:rsidRDefault="002952CC" w:rsidP="00DD7ECE">
      <w:pPr>
        <w:rPr>
          <w:rFonts w:ascii="Times New Roman" w:hAnsi="Times New Roman" w:cs="Times New Roman"/>
          <w:b/>
          <w:bCs/>
        </w:rPr>
      </w:pPr>
      <w:r w:rsidRPr="002952CC">
        <w:rPr>
          <w:rFonts w:ascii="Times New Roman" w:hAnsi="Times New Roman" w:cs="Times New Roman"/>
          <w:b/>
          <w:bCs/>
          <w:noProof/>
        </w:rPr>
        <w:drawing>
          <wp:inline distT="0" distB="0" distL="0" distR="0" wp14:anchorId="04D6D449" wp14:editId="0A6BCB4A">
            <wp:extent cx="5943600" cy="1437640"/>
            <wp:effectExtent l="0" t="0" r="0" b="0"/>
            <wp:docPr id="1863033168"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33168" name="Picture 1" descr="A table with numbers and letters&#10;&#10;Description automatically generated"/>
                    <pic:cNvPicPr/>
                  </pic:nvPicPr>
                  <pic:blipFill>
                    <a:blip r:embed="rId5"/>
                    <a:stretch>
                      <a:fillRect/>
                    </a:stretch>
                  </pic:blipFill>
                  <pic:spPr>
                    <a:xfrm>
                      <a:off x="0" y="0"/>
                      <a:ext cx="5943600" cy="1437640"/>
                    </a:xfrm>
                    <a:prstGeom prst="rect">
                      <a:avLst/>
                    </a:prstGeom>
                  </pic:spPr>
                </pic:pic>
              </a:graphicData>
            </a:graphic>
          </wp:inline>
        </w:drawing>
      </w:r>
    </w:p>
    <w:p w14:paraId="76295A47" w14:textId="466D1C30" w:rsidR="00DD7ECE" w:rsidRPr="00884E60" w:rsidRDefault="00884E60" w:rsidP="00DD7ECE">
      <w:pPr>
        <w:rPr>
          <w:rFonts w:ascii="Times New Roman" w:hAnsi="Times New Roman" w:cs="Times New Roman"/>
          <w:sz w:val="24"/>
          <w:szCs w:val="24"/>
        </w:rPr>
      </w:pPr>
      <w:r w:rsidRPr="00884E60">
        <w:rPr>
          <w:rFonts w:ascii="Times New Roman" w:hAnsi="Times New Roman" w:cs="Times New Roman"/>
          <w:sz w:val="24"/>
          <w:szCs w:val="24"/>
        </w:rPr>
        <w:t>The highest mean score (4.11) was observed for items related to AI policies, while social justice concerns showed the lowest mean score (3.17), suggesting a complex relationship between policy expectations and perceived social outcomes.</w:t>
      </w:r>
      <w:r>
        <w:rPr>
          <w:rFonts w:ascii="Times New Roman" w:hAnsi="Times New Roman" w:cs="Times New Roman"/>
          <w:sz w:val="24"/>
          <w:szCs w:val="24"/>
        </w:rPr>
        <w:t xml:space="preserve"> </w:t>
      </w:r>
      <w:r w:rsidR="00DD7ECE" w:rsidRPr="00884E60">
        <w:rPr>
          <w:rFonts w:ascii="Times New Roman" w:hAnsi="Times New Roman" w:cs="Times New Roman"/>
          <w:sz w:val="24"/>
          <w:szCs w:val="24"/>
        </w:rPr>
        <w:t>This table provides the descriptive statistics for the 10 survey items related to digital access and barriers, labeled Q6 through Q15. Let’s break down each component:</w:t>
      </w:r>
    </w:p>
    <w:p w14:paraId="2B794EE1"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1. </w:t>
      </w:r>
      <w:r w:rsidRPr="002952CC">
        <w:rPr>
          <w:rFonts w:ascii="Times New Roman" w:hAnsi="Times New Roman" w:cs="Times New Roman"/>
          <w:b/>
          <w:bCs/>
        </w:rPr>
        <w:t>N (Sample Size):</w:t>
      </w:r>
    </w:p>
    <w:p w14:paraId="67D3D598" w14:textId="77777777" w:rsidR="00DD7ECE" w:rsidRPr="002952CC" w:rsidRDefault="00DD7ECE" w:rsidP="00DD7ECE">
      <w:pPr>
        <w:numPr>
          <w:ilvl w:val="0"/>
          <w:numId w:val="2"/>
        </w:numPr>
        <w:rPr>
          <w:rFonts w:ascii="Times New Roman" w:hAnsi="Times New Roman" w:cs="Times New Roman"/>
        </w:rPr>
      </w:pPr>
      <w:r w:rsidRPr="002952CC">
        <w:rPr>
          <w:rFonts w:ascii="Times New Roman" w:hAnsi="Times New Roman" w:cs="Times New Roman"/>
        </w:rPr>
        <w:t>This shows the number of respondents who answered each question.</w:t>
      </w:r>
    </w:p>
    <w:p w14:paraId="44B6097A" w14:textId="77777777" w:rsidR="00DD7ECE" w:rsidRPr="002952CC" w:rsidRDefault="00DD7ECE" w:rsidP="00DD7ECE">
      <w:pPr>
        <w:numPr>
          <w:ilvl w:val="0"/>
          <w:numId w:val="2"/>
        </w:numPr>
        <w:rPr>
          <w:rFonts w:ascii="Times New Roman" w:hAnsi="Times New Roman" w:cs="Times New Roman"/>
        </w:rPr>
      </w:pPr>
      <w:r w:rsidRPr="002952CC">
        <w:rPr>
          <w:rFonts w:ascii="Times New Roman" w:hAnsi="Times New Roman" w:cs="Times New Roman"/>
        </w:rPr>
        <w:t>For most items (Q6 through Q15), there are 93 respondents, except for Q9SocialJustice, which has 92 respondents, meaning one response is missing for that item.</w:t>
      </w:r>
    </w:p>
    <w:p w14:paraId="16965E52" w14:textId="77777777" w:rsidR="00DD7ECE" w:rsidRPr="002952CC" w:rsidRDefault="00DD7ECE" w:rsidP="00DD7ECE">
      <w:pPr>
        <w:rPr>
          <w:rFonts w:ascii="Times New Roman" w:hAnsi="Times New Roman" w:cs="Times New Roman"/>
          <w:b/>
          <w:bCs/>
        </w:rPr>
      </w:pPr>
      <w:r w:rsidRPr="002952CC">
        <w:rPr>
          <w:rFonts w:ascii="Times New Roman" w:hAnsi="Times New Roman" w:cs="Times New Roman"/>
        </w:rPr>
        <w:t xml:space="preserve">2. </w:t>
      </w:r>
      <w:r w:rsidRPr="002952CC">
        <w:rPr>
          <w:rFonts w:ascii="Times New Roman" w:hAnsi="Times New Roman" w:cs="Times New Roman"/>
          <w:b/>
          <w:bCs/>
        </w:rPr>
        <w:t>Missing:</w:t>
      </w:r>
    </w:p>
    <w:p w14:paraId="21AD30D4" w14:textId="77777777" w:rsidR="00DD7ECE" w:rsidRPr="002952CC" w:rsidRDefault="00DD7ECE" w:rsidP="00DD7ECE">
      <w:pPr>
        <w:numPr>
          <w:ilvl w:val="0"/>
          <w:numId w:val="3"/>
        </w:numPr>
        <w:rPr>
          <w:rFonts w:ascii="Times New Roman" w:hAnsi="Times New Roman" w:cs="Times New Roman"/>
        </w:rPr>
      </w:pPr>
      <w:r w:rsidRPr="002952CC">
        <w:rPr>
          <w:rFonts w:ascii="Times New Roman" w:hAnsi="Times New Roman" w:cs="Times New Roman"/>
        </w:rPr>
        <w:t>Indicates how many responses are missing for each item.</w:t>
      </w:r>
    </w:p>
    <w:p w14:paraId="0C3701F8" w14:textId="77777777" w:rsidR="00DD7ECE" w:rsidRPr="002952CC" w:rsidRDefault="00DD7ECE" w:rsidP="00DD7ECE">
      <w:pPr>
        <w:numPr>
          <w:ilvl w:val="0"/>
          <w:numId w:val="3"/>
        </w:numPr>
        <w:rPr>
          <w:rFonts w:ascii="Times New Roman" w:hAnsi="Times New Roman" w:cs="Times New Roman"/>
        </w:rPr>
      </w:pPr>
      <w:r w:rsidRPr="002952CC">
        <w:rPr>
          <w:rFonts w:ascii="Times New Roman" w:hAnsi="Times New Roman" w:cs="Times New Roman"/>
        </w:rPr>
        <w:t>Only Q9SocialJustice has 1 missing value, while the rest of the items have no missing responses.</w:t>
      </w:r>
    </w:p>
    <w:p w14:paraId="35534F7A"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3. </w:t>
      </w:r>
      <w:r w:rsidRPr="002952CC">
        <w:rPr>
          <w:rFonts w:ascii="Times New Roman" w:hAnsi="Times New Roman" w:cs="Times New Roman"/>
          <w:b/>
          <w:bCs/>
        </w:rPr>
        <w:t>Mean:</w:t>
      </w:r>
    </w:p>
    <w:p w14:paraId="581CC0A1" w14:textId="77777777" w:rsidR="00DD7ECE" w:rsidRPr="002952CC" w:rsidRDefault="00DD7ECE" w:rsidP="00DD7ECE">
      <w:pPr>
        <w:numPr>
          <w:ilvl w:val="0"/>
          <w:numId w:val="4"/>
        </w:numPr>
        <w:rPr>
          <w:rFonts w:ascii="Times New Roman" w:hAnsi="Times New Roman" w:cs="Times New Roman"/>
        </w:rPr>
      </w:pPr>
      <w:r w:rsidRPr="002952CC">
        <w:rPr>
          <w:rFonts w:ascii="Times New Roman" w:hAnsi="Times New Roman" w:cs="Times New Roman"/>
        </w:rPr>
        <w:t xml:space="preserve">The </w:t>
      </w:r>
      <w:proofErr w:type="gramStart"/>
      <w:r w:rsidRPr="002952CC">
        <w:rPr>
          <w:rFonts w:ascii="Times New Roman" w:hAnsi="Times New Roman" w:cs="Times New Roman"/>
        </w:rPr>
        <w:t>mean</w:t>
      </w:r>
      <w:proofErr w:type="gramEnd"/>
      <w:r w:rsidRPr="002952CC">
        <w:rPr>
          <w:rFonts w:ascii="Times New Roman" w:hAnsi="Times New Roman" w:cs="Times New Roman"/>
        </w:rPr>
        <w:t xml:space="preserve"> is the average score for each question.</w:t>
      </w:r>
    </w:p>
    <w:p w14:paraId="6216BB00" w14:textId="77777777" w:rsidR="00DD7ECE" w:rsidRPr="002952CC" w:rsidRDefault="00DD7ECE" w:rsidP="00DD7ECE">
      <w:pPr>
        <w:numPr>
          <w:ilvl w:val="0"/>
          <w:numId w:val="4"/>
        </w:numPr>
        <w:rPr>
          <w:rFonts w:ascii="Times New Roman" w:hAnsi="Times New Roman" w:cs="Times New Roman"/>
        </w:rPr>
      </w:pPr>
      <w:r w:rsidRPr="002952CC">
        <w:rPr>
          <w:rFonts w:ascii="Times New Roman" w:hAnsi="Times New Roman" w:cs="Times New Roman"/>
        </w:rPr>
        <w:t>For example, Q6AccessTools has a mean score of 3.81, meaning on average, respondents rated their access to tools close to 4 (likely on a 5-point Likert scale).</w:t>
      </w:r>
    </w:p>
    <w:p w14:paraId="1D10D907" w14:textId="77777777" w:rsidR="00DD7ECE" w:rsidRPr="002952CC" w:rsidRDefault="00DD7ECE" w:rsidP="00DD7ECE">
      <w:pPr>
        <w:numPr>
          <w:ilvl w:val="0"/>
          <w:numId w:val="4"/>
        </w:numPr>
        <w:rPr>
          <w:rFonts w:ascii="Times New Roman" w:hAnsi="Times New Roman" w:cs="Times New Roman"/>
        </w:rPr>
      </w:pPr>
      <w:r w:rsidRPr="002952CC">
        <w:rPr>
          <w:rFonts w:ascii="Times New Roman" w:hAnsi="Times New Roman" w:cs="Times New Roman"/>
        </w:rPr>
        <w:t xml:space="preserve">Q12Policies </w:t>
      </w:r>
      <w:proofErr w:type="gramStart"/>
      <w:r w:rsidRPr="002952CC">
        <w:rPr>
          <w:rFonts w:ascii="Times New Roman" w:hAnsi="Times New Roman" w:cs="Times New Roman"/>
        </w:rPr>
        <w:t>has</w:t>
      </w:r>
      <w:proofErr w:type="gramEnd"/>
      <w:r w:rsidRPr="002952CC">
        <w:rPr>
          <w:rFonts w:ascii="Times New Roman" w:hAnsi="Times New Roman" w:cs="Times New Roman"/>
        </w:rPr>
        <w:t xml:space="preserve"> the highest mean score of 4.11, indicating stronger agreement with the policies related to access.</w:t>
      </w:r>
    </w:p>
    <w:p w14:paraId="2A6295D8"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4. </w:t>
      </w:r>
      <w:r w:rsidRPr="002952CC">
        <w:rPr>
          <w:rFonts w:ascii="Times New Roman" w:hAnsi="Times New Roman" w:cs="Times New Roman"/>
          <w:b/>
          <w:bCs/>
        </w:rPr>
        <w:t>Median:</w:t>
      </w:r>
    </w:p>
    <w:p w14:paraId="231B5111" w14:textId="77777777" w:rsidR="00DD7ECE" w:rsidRPr="002952CC" w:rsidRDefault="00DD7ECE" w:rsidP="00DD7ECE">
      <w:pPr>
        <w:numPr>
          <w:ilvl w:val="0"/>
          <w:numId w:val="5"/>
        </w:numPr>
        <w:rPr>
          <w:rFonts w:ascii="Times New Roman" w:hAnsi="Times New Roman" w:cs="Times New Roman"/>
        </w:rPr>
      </w:pPr>
      <w:r w:rsidRPr="002952CC">
        <w:rPr>
          <w:rFonts w:ascii="Times New Roman" w:hAnsi="Times New Roman" w:cs="Times New Roman"/>
        </w:rPr>
        <w:t>The median is the middle value when the data is sorted in ascending order.</w:t>
      </w:r>
    </w:p>
    <w:p w14:paraId="6A01CB98" w14:textId="77777777" w:rsidR="00DD7ECE" w:rsidRPr="002952CC" w:rsidRDefault="00DD7ECE" w:rsidP="00DD7ECE">
      <w:pPr>
        <w:numPr>
          <w:ilvl w:val="0"/>
          <w:numId w:val="5"/>
        </w:numPr>
        <w:rPr>
          <w:rFonts w:ascii="Times New Roman" w:hAnsi="Times New Roman" w:cs="Times New Roman"/>
        </w:rPr>
      </w:pPr>
      <w:r w:rsidRPr="002952CC">
        <w:rPr>
          <w:rFonts w:ascii="Times New Roman" w:hAnsi="Times New Roman" w:cs="Times New Roman"/>
        </w:rPr>
        <w:lastRenderedPageBreak/>
        <w:t>A median of 4 for most items (Q6, Q7, Q8, Q10, etc.) suggests that most respondents chose values around 4 (likely indicating agreement or access in the context of the questions).</w:t>
      </w:r>
    </w:p>
    <w:p w14:paraId="61EC7EED"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5. </w:t>
      </w:r>
      <w:r w:rsidRPr="002952CC">
        <w:rPr>
          <w:rFonts w:ascii="Times New Roman" w:hAnsi="Times New Roman" w:cs="Times New Roman"/>
          <w:b/>
          <w:bCs/>
        </w:rPr>
        <w:t>Standard Deviation (SD):</w:t>
      </w:r>
    </w:p>
    <w:p w14:paraId="48CE3BD7" w14:textId="77777777" w:rsidR="00DD7ECE" w:rsidRPr="002952CC" w:rsidRDefault="00DD7ECE" w:rsidP="00DD7ECE">
      <w:pPr>
        <w:numPr>
          <w:ilvl w:val="0"/>
          <w:numId w:val="6"/>
        </w:numPr>
        <w:rPr>
          <w:rFonts w:ascii="Times New Roman" w:hAnsi="Times New Roman" w:cs="Times New Roman"/>
        </w:rPr>
      </w:pPr>
      <w:r w:rsidRPr="002952CC">
        <w:rPr>
          <w:rFonts w:ascii="Times New Roman" w:hAnsi="Times New Roman" w:cs="Times New Roman"/>
        </w:rPr>
        <w:t>Standard deviation measures the spread or variability of the responses around the mean.</w:t>
      </w:r>
    </w:p>
    <w:p w14:paraId="2ADA769B" w14:textId="77777777" w:rsidR="00DD7ECE" w:rsidRPr="002952CC" w:rsidRDefault="00DD7ECE" w:rsidP="00DD7ECE">
      <w:pPr>
        <w:numPr>
          <w:ilvl w:val="0"/>
          <w:numId w:val="6"/>
        </w:numPr>
        <w:rPr>
          <w:rFonts w:ascii="Times New Roman" w:hAnsi="Times New Roman" w:cs="Times New Roman"/>
        </w:rPr>
      </w:pPr>
      <w:r w:rsidRPr="002952CC">
        <w:rPr>
          <w:rFonts w:ascii="Times New Roman" w:hAnsi="Times New Roman" w:cs="Times New Roman"/>
        </w:rPr>
        <w:t xml:space="preserve">For example, Q8WidenGaps has </w:t>
      </w:r>
      <w:proofErr w:type="gramStart"/>
      <w:r w:rsidRPr="002952CC">
        <w:rPr>
          <w:rFonts w:ascii="Times New Roman" w:hAnsi="Times New Roman" w:cs="Times New Roman"/>
        </w:rPr>
        <w:t>a SD</w:t>
      </w:r>
      <w:proofErr w:type="gramEnd"/>
      <w:r w:rsidRPr="002952CC">
        <w:rPr>
          <w:rFonts w:ascii="Times New Roman" w:hAnsi="Times New Roman" w:cs="Times New Roman"/>
        </w:rPr>
        <w:t xml:space="preserve"> of 1.19, meaning there is moderate variability in how respondents perceive the widening of gaps.</w:t>
      </w:r>
    </w:p>
    <w:p w14:paraId="1A04E76F" w14:textId="77777777" w:rsidR="00DD7ECE" w:rsidRPr="002952CC" w:rsidRDefault="00DD7ECE" w:rsidP="00DD7ECE">
      <w:pPr>
        <w:numPr>
          <w:ilvl w:val="0"/>
          <w:numId w:val="6"/>
        </w:numPr>
        <w:rPr>
          <w:rFonts w:ascii="Times New Roman" w:hAnsi="Times New Roman" w:cs="Times New Roman"/>
        </w:rPr>
      </w:pPr>
      <w:r w:rsidRPr="002952CC">
        <w:rPr>
          <w:rFonts w:ascii="Times New Roman" w:hAnsi="Times New Roman" w:cs="Times New Roman"/>
        </w:rPr>
        <w:t>Lower SD values, such as 0.995 for Q13WorseAccess, suggest that most respondents gave similar answers to that item.</w:t>
      </w:r>
    </w:p>
    <w:p w14:paraId="492F5FF8"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6. </w:t>
      </w:r>
      <w:r w:rsidRPr="002952CC">
        <w:rPr>
          <w:rFonts w:ascii="Times New Roman" w:hAnsi="Times New Roman" w:cs="Times New Roman"/>
          <w:b/>
          <w:bCs/>
        </w:rPr>
        <w:t>Minimum and Maximum:</w:t>
      </w:r>
    </w:p>
    <w:p w14:paraId="39819458" w14:textId="77777777" w:rsidR="00DD7ECE" w:rsidRPr="002952CC" w:rsidRDefault="00DD7ECE" w:rsidP="00DD7ECE">
      <w:pPr>
        <w:numPr>
          <w:ilvl w:val="0"/>
          <w:numId w:val="7"/>
        </w:numPr>
        <w:rPr>
          <w:rFonts w:ascii="Times New Roman" w:hAnsi="Times New Roman" w:cs="Times New Roman"/>
        </w:rPr>
      </w:pPr>
      <w:r w:rsidRPr="002952CC">
        <w:rPr>
          <w:rFonts w:ascii="Times New Roman" w:hAnsi="Times New Roman" w:cs="Times New Roman"/>
        </w:rPr>
        <w:t>These values show the range of responses.</w:t>
      </w:r>
    </w:p>
    <w:p w14:paraId="3B24D959" w14:textId="77777777" w:rsidR="00DD7ECE" w:rsidRPr="002952CC" w:rsidRDefault="00DD7ECE" w:rsidP="00DD7ECE">
      <w:pPr>
        <w:numPr>
          <w:ilvl w:val="0"/>
          <w:numId w:val="7"/>
        </w:numPr>
        <w:rPr>
          <w:rFonts w:ascii="Times New Roman" w:hAnsi="Times New Roman" w:cs="Times New Roman"/>
        </w:rPr>
      </w:pPr>
      <w:r w:rsidRPr="002952CC">
        <w:rPr>
          <w:rFonts w:ascii="Times New Roman" w:hAnsi="Times New Roman" w:cs="Times New Roman"/>
        </w:rPr>
        <w:t>All items have a minimum of 1 and a maximum of 5, indicating the use of a Likert scale ranging from 1 (e.g., strongly disagree) to 5 (e.g., strongly agree).</w:t>
      </w:r>
    </w:p>
    <w:p w14:paraId="0FB2FBF5" w14:textId="77777777" w:rsidR="00DD7ECE" w:rsidRPr="002952CC" w:rsidRDefault="00DD7ECE" w:rsidP="00DD7ECE">
      <w:pPr>
        <w:rPr>
          <w:rFonts w:ascii="Times New Roman" w:hAnsi="Times New Roman" w:cs="Times New Roman"/>
          <w:b/>
          <w:bCs/>
        </w:rPr>
      </w:pPr>
      <w:r w:rsidRPr="002952CC">
        <w:rPr>
          <w:rFonts w:ascii="Times New Roman" w:hAnsi="Times New Roman" w:cs="Times New Roman"/>
          <w:b/>
          <w:bCs/>
        </w:rPr>
        <w:t>Summary of Findings:</w:t>
      </w:r>
    </w:p>
    <w:p w14:paraId="6078AA90" w14:textId="77777777" w:rsidR="00DD7ECE" w:rsidRPr="002952CC" w:rsidRDefault="00DD7ECE" w:rsidP="00DD7ECE">
      <w:pPr>
        <w:numPr>
          <w:ilvl w:val="0"/>
          <w:numId w:val="8"/>
        </w:numPr>
        <w:rPr>
          <w:rFonts w:ascii="Times New Roman" w:hAnsi="Times New Roman" w:cs="Times New Roman"/>
        </w:rPr>
      </w:pPr>
      <w:r w:rsidRPr="002952CC">
        <w:rPr>
          <w:rFonts w:ascii="Times New Roman" w:hAnsi="Times New Roman" w:cs="Times New Roman"/>
        </w:rPr>
        <w:t>Mean scores around 3.5 to 4 indicate that most respondents somewhat agree or are moderately positive about access to tools, learning platforms, and perceived barriers.</w:t>
      </w:r>
    </w:p>
    <w:p w14:paraId="103437DF" w14:textId="77777777" w:rsidR="00DD7ECE" w:rsidRPr="002952CC" w:rsidRDefault="00DD7ECE" w:rsidP="00DD7ECE">
      <w:pPr>
        <w:numPr>
          <w:ilvl w:val="0"/>
          <w:numId w:val="8"/>
        </w:numPr>
        <w:rPr>
          <w:rFonts w:ascii="Times New Roman" w:hAnsi="Times New Roman" w:cs="Times New Roman"/>
        </w:rPr>
      </w:pPr>
      <w:r w:rsidRPr="002952CC">
        <w:rPr>
          <w:rFonts w:ascii="Times New Roman" w:hAnsi="Times New Roman" w:cs="Times New Roman"/>
        </w:rPr>
        <w:t>Variability (as shown by SD) is relatively consistent across items, with most SDs around 1, meaning responses are somewhat spread out but not too extreme.</w:t>
      </w:r>
    </w:p>
    <w:p w14:paraId="3E502C85" w14:textId="77777777" w:rsidR="00DD7ECE" w:rsidRPr="002952CC" w:rsidRDefault="00DD7ECE" w:rsidP="00DD7ECE">
      <w:pPr>
        <w:numPr>
          <w:ilvl w:val="0"/>
          <w:numId w:val="8"/>
        </w:numPr>
        <w:rPr>
          <w:rFonts w:ascii="Times New Roman" w:hAnsi="Times New Roman" w:cs="Times New Roman"/>
        </w:rPr>
      </w:pPr>
      <w:r w:rsidRPr="002952CC">
        <w:rPr>
          <w:rFonts w:ascii="Times New Roman" w:hAnsi="Times New Roman" w:cs="Times New Roman"/>
        </w:rPr>
        <w:t>Q12Policies had the highest mean score (4.11), suggesting that respondents are most positive about the policies related to digital access.</w:t>
      </w:r>
    </w:p>
    <w:p w14:paraId="24C8C13C" w14:textId="77777777" w:rsidR="00DD7ECE" w:rsidRPr="002952CC" w:rsidRDefault="00DD7ECE" w:rsidP="00DD7ECE">
      <w:pPr>
        <w:rPr>
          <w:rFonts w:ascii="Times New Roman" w:hAnsi="Times New Roman" w:cs="Times New Roman"/>
          <w:b/>
          <w:bCs/>
        </w:rPr>
      </w:pPr>
      <w:r w:rsidRPr="002952CC">
        <w:rPr>
          <w:rFonts w:ascii="Times New Roman" w:hAnsi="Times New Roman" w:cs="Times New Roman"/>
          <w:b/>
          <w:bCs/>
        </w:rPr>
        <w:t xml:space="preserve">The Exclusion of Q1 </w:t>
      </w:r>
      <w:proofErr w:type="gramStart"/>
      <w:r w:rsidRPr="002952CC">
        <w:rPr>
          <w:rFonts w:ascii="Times New Roman" w:hAnsi="Times New Roman" w:cs="Times New Roman"/>
          <w:b/>
          <w:bCs/>
        </w:rPr>
        <w:t>thru</w:t>
      </w:r>
      <w:proofErr w:type="gramEnd"/>
      <w:r w:rsidRPr="002952CC">
        <w:rPr>
          <w:rFonts w:ascii="Times New Roman" w:hAnsi="Times New Roman" w:cs="Times New Roman"/>
          <w:b/>
          <w:bCs/>
        </w:rPr>
        <w:t xml:space="preserve"> Q5</w:t>
      </w:r>
    </w:p>
    <w:p w14:paraId="44A9E93F"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 xml:space="preserve">We didn't use Q1 through Q5 in </w:t>
      </w:r>
      <w:proofErr w:type="gramStart"/>
      <w:r w:rsidRPr="002952CC">
        <w:rPr>
          <w:rFonts w:ascii="Times New Roman" w:hAnsi="Times New Roman" w:cs="Times New Roman"/>
        </w:rPr>
        <w:t>our my</w:t>
      </w:r>
      <w:proofErr w:type="gramEnd"/>
      <w:r w:rsidRPr="002952CC">
        <w:rPr>
          <w:rFonts w:ascii="Times New Roman" w:hAnsi="Times New Roman" w:cs="Times New Roman"/>
        </w:rPr>
        <w:t xml:space="preserve"> Cronbach's Alpha analysis because these questions are likely focused on demographic information, which isn't relevant to measuring the specific construct </w:t>
      </w:r>
      <w:proofErr w:type="gramStart"/>
      <w:r w:rsidRPr="002952CC">
        <w:rPr>
          <w:rFonts w:ascii="Times New Roman" w:hAnsi="Times New Roman" w:cs="Times New Roman"/>
        </w:rPr>
        <w:t>we I</w:t>
      </w:r>
      <w:proofErr w:type="gramEnd"/>
      <w:r w:rsidRPr="002952CC">
        <w:rPr>
          <w:rFonts w:ascii="Times New Roman" w:hAnsi="Times New Roman" w:cs="Times New Roman"/>
        </w:rPr>
        <w:t xml:space="preserve"> were interested in, such as access to digital tools and barriers. For example, Q2 asks about the respondents' age, and Q3 likely covers their education level. These kinds of variables don't reflect attitudes, behaviors, or perceptions in the same way the items from Q6 to Q15 do.</w:t>
      </w:r>
    </w:p>
    <w:p w14:paraId="4565F68B" w14:textId="77777777" w:rsidR="00DD7ECE" w:rsidRPr="002952CC" w:rsidRDefault="00DD7ECE" w:rsidP="00DD7ECE">
      <w:pPr>
        <w:rPr>
          <w:rFonts w:ascii="Times New Roman" w:hAnsi="Times New Roman" w:cs="Times New Roman"/>
        </w:rPr>
      </w:pPr>
      <w:r w:rsidRPr="002952CC">
        <w:rPr>
          <w:rFonts w:ascii="Times New Roman" w:hAnsi="Times New Roman" w:cs="Times New Roman"/>
        </w:rPr>
        <w:t>Cronbach’s Alpha is designed to assess the internal consistency of items that are intended to measure the same underlying concept. Including demographic information, like age or gender, wouldn't make sense here because those variables don't contribute to understanding respondents’ perceptions of digital access or barriers.</w:t>
      </w:r>
    </w:p>
    <w:p w14:paraId="73B01878" w14:textId="77777777" w:rsidR="00DD7ECE" w:rsidRDefault="00DD7ECE" w:rsidP="00DD7ECE">
      <w:pPr>
        <w:rPr>
          <w:rFonts w:ascii="Times New Roman" w:hAnsi="Times New Roman" w:cs="Times New Roman"/>
        </w:rPr>
      </w:pPr>
      <w:r w:rsidRPr="002952CC">
        <w:rPr>
          <w:rFonts w:ascii="Times New Roman" w:hAnsi="Times New Roman" w:cs="Times New Roman"/>
        </w:rPr>
        <w:t xml:space="preserve">Essentially, Q1 through Q5 </w:t>
      </w:r>
      <w:proofErr w:type="gramStart"/>
      <w:r w:rsidRPr="002952CC">
        <w:rPr>
          <w:rFonts w:ascii="Times New Roman" w:hAnsi="Times New Roman" w:cs="Times New Roman"/>
        </w:rPr>
        <w:t>serve</w:t>
      </w:r>
      <w:proofErr w:type="gramEnd"/>
      <w:r w:rsidRPr="002952CC">
        <w:rPr>
          <w:rFonts w:ascii="Times New Roman" w:hAnsi="Times New Roman" w:cs="Times New Roman"/>
        </w:rPr>
        <w:t xml:space="preserve"> a different purpose, like helping describe our sample, but they don’t belong in an analysis of internal consistency for the constructs we wanted to measure with items like Q6 to Q15. That’s why we excluded them from the reliability analysis.</w:t>
      </w:r>
    </w:p>
    <w:p w14:paraId="23888055" w14:textId="77777777" w:rsidR="00E57AC4" w:rsidRPr="00E57AC4" w:rsidRDefault="00E57AC4" w:rsidP="00E57AC4">
      <w:pPr>
        <w:spacing w:before="155"/>
        <w:rPr>
          <w:rFonts w:ascii="Times New Roman" w:hAnsi="Times New Roman" w:cs="Times New Roman"/>
          <w:b/>
          <w:bCs/>
        </w:rPr>
      </w:pPr>
      <w:r w:rsidRPr="00E57AC4">
        <w:rPr>
          <w:rFonts w:ascii="Times New Roman" w:hAnsi="Times New Roman" w:cs="Times New Roman"/>
          <w:b/>
          <w:bCs/>
        </w:rPr>
        <w:t>Scale Reliability</w:t>
      </w:r>
    </w:p>
    <w:p w14:paraId="46B0020A" w14:textId="77777777" w:rsidR="00E57AC4" w:rsidRPr="00E57AC4" w:rsidRDefault="00E57AC4" w:rsidP="00E57AC4">
      <w:pPr>
        <w:spacing w:before="155"/>
        <w:rPr>
          <w:rFonts w:ascii="Times New Roman" w:hAnsi="Times New Roman" w:cs="Times New Roman"/>
        </w:rPr>
      </w:pPr>
      <w:r w:rsidRPr="00E57AC4">
        <w:rPr>
          <w:rFonts w:ascii="Times New Roman" w:hAnsi="Times New Roman" w:cs="Times New Roman"/>
        </w:rPr>
        <w:t>Our reliability analysis demonstrated strong internal consistency across survey items.</w:t>
      </w:r>
    </w:p>
    <w:p w14:paraId="46A570FA" w14:textId="77777777" w:rsidR="00E57AC4" w:rsidRDefault="00E57AC4" w:rsidP="00E57AC4">
      <w:pPr>
        <w:spacing w:before="155"/>
        <w:rPr>
          <w:rFonts w:ascii="Times New Roman" w:hAnsi="Times New Roman" w:cs="Times New Roman"/>
          <w:b/>
          <w:bCs/>
        </w:rPr>
      </w:pPr>
    </w:p>
    <w:p w14:paraId="03CCC2DB" w14:textId="307AF0FD" w:rsidR="00E57AC4" w:rsidRPr="00F23E54" w:rsidRDefault="00E57AC4" w:rsidP="00E57AC4">
      <w:pPr>
        <w:spacing w:before="155"/>
        <w:rPr>
          <w:rFonts w:ascii="Times New Roman" w:hAnsi="Times New Roman" w:cs="Times New Roman"/>
          <w:b/>
          <w:bCs/>
        </w:rPr>
      </w:pPr>
      <w:r w:rsidRPr="00E57AC4">
        <w:rPr>
          <w:rFonts w:ascii="Times New Roman" w:hAnsi="Times New Roman" w:cs="Times New Roman"/>
          <w:b/>
          <w:bCs/>
        </w:rPr>
        <w:t>Table 4: Reliability Analysis Results</w:t>
      </w:r>
    </w:p>
    <w:p w14:paraId="70B7B38B" w14:textId="77777777" w:rsidR="00E57AC4" w:rsidRPr="002952CC" w:rsidRDefault="00E57AC4" w:rsidP="00E57AC4">
      <w:pPr>
        <w:rPr>
          <w:rFonts w:ascii="Times New Roman" w:hAnsi="Times New Roman" w:cs="Times New Roman"/>
        </w:rPr>
      </w:pPr>
      <w:r w:rsidRPr="002952CC">
        <w:rPr>
          <w:rFonts w:ascii="Times New Roman" w:hAnsi="Times New Roman" w:cs="Times New Roman"/>
          <w:noProof/>
        </w:rPr>
        <w:lastRenderedPageBreak/>
        <w:drawing>
          <wp:inline distT="0" distB="0" distL="0" distR="0" wp14:anchorId="526FC9DD" wp14:editId="25A0128E">
            <wp:extent cx="1577477" cy="1272650"/>
            <wp:effectExtent l="0" t="0" r="3810" b="3810"/>
            <wp:docPr id="963209959" name="Picture 1"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09959" name="Picture 1" descr="A white text with black text&#10;&#10;Description automatically generated"/>
                    <pic:cNvPicPr/>
                  </pic:nvPicPr>
                  <pic:blipFill>
                    <a:blip r:embed="rId6"/>
                    <a:stretch>
                      <a:fillRect/>
                    </a:stretch>
                  </pic:blipFill>
                  <pic:spPr>
                    <a:xfrm>
                      <a:off x="0" y="0"/>
                      <a:ext cx="1577477" cy="1272650"/>
                    </a:xfrm>
                    <a:prstGeom prst="rect">
                      <a:avLst/>
                    </a:prstGeom>
                  </pic:spPr>
                </pic:pic>
              </a:graphicData>
            </a:graphic>
          </wp:inline>
        </w:drawing>
      </w:r>
    </w:p>
    <w:p w14:paraId="5634F9F6" w14:textId="4A23E1BF" w:rsidR="00E57AC4" w:rsidRPr="002952CC" w:rsidRDefault="00E57AC4" w:rsidP="00DD7ECE">
      <w:pPr>
        <w:rPr>
          <w:rFonts w:ascii="Times New Roman" w:hAnsi="Times New Roman" w:cs="Times New Roman"/>
        </w:rPr>
      </w:pPr>
      <w:r w:rsidRPr="00E57AC4">
        <w:rPr>
          <w:rFonts w:ascii="Times New Roman" w:hAnsi="Times New Roman" w:cs="Times New Roman"/>
        </w:rPr>
        <w:t>The Cronbach's Alpha value of 0.834 indicates excellent reliability, with item analysis showing consistent strength across all components. This robust internal consistency suggests our instrument effectively captured the intended constructs.</w:t>
      </w:r>
    </w:p>
    <w:p w14:paraId="5D1E720E" w14:textId="5E245295" w:rsidR="009635CB" w:rsidRPr="00884E60" w:rsidRDefault="002952CC">
      <w:pPr>
        <w:rPr>
          <w:rFonts w:ascii="Times New Roman" w:hAnsi="Times New Roman" w:cs="Times New Roman"/>
          <w:b/>
          <w:bCs/>
          <w:sz w:val="24"/>
          <w:szCs w:val="24"/>
        </w:rPr>
      </w:pPr>
      <w:r w:rsidRPr="00884E60">
        <w:rPr>
          <w:rFonts w:ascii="Times New Roman" w:hAnsi="Times New Roman" w:cs="Times New Roman"/>
          <w:b/>
          <w:bCs/>
          <w:sz w:val="24"/>
          <w:szCs w:val="24"/>
        </w:rPr>
        <w:t>Factor Analysis</w:t>
      </w:r>
    </w:p>
    <w:p w14:paraId="5AAD3E1D" w14:textId="77777777" w:rsidR="002952CC" w:rsidRDefault="002952CC" w:rsidP="002952CC">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 xml:space="preserve">This report presents the results of an exploratory factor analysis (EFA) conducted on survey data related to AI and the digital divide. The analysis aims to identify underlying </w:t>
      </w:r>
      <w:proofErr w:type="gramStart"/>
      <w:r w:rsidRPr="002952CC">
        <w:rPr>
          <w:rFonts w:ascii="Times New Roman" w:eastAsia="Times New Roman" w:hAnsi="Times New Roman" w:cs="Times New Roman"/>
          <w:kern w:val="0"/>
          <w14:ligatures w14:val="none"/>
        </w:rPr>
        <w:t>constructs</w:t>
      </w:r>
      <w:proofErr w:type="gramEnd"/>
      <w:r w:rsidRPr="002952CC">
        <w:rPr>
          <w:rFonts w:ascii="Times New Roman" w:eastAsia="Times New Roman" w:hAnsi="Times New Roman" w:cs="Times New Roman"/>
          <w:kern w:val="0"/>
          <w14:ligatures w14:val="none"/>
        </w:rPr>
        <w:t xml:space="preserve"> in the survey responses and validate the measurement scales used.</w:t>
      </w:r>
    </w:p>
    <w:p w14:paraId="298EE280" w14:textId="1862A1D5" w:rsidR="00884E60" w:rsidRDefault="00884E60"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t>Table 5: Factor Analysis Results</w:t>
      </w:r>
    </w:p>
    <w:p w14:paraId="5E0A83C2" w14:textId="7A4A7D65" w:rsidR="00884E60" w:rsidRDefault="00884E60"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2952CC">
        <w:rPr>
          <w:rFonts w:ascii="Times New Roman" w:eastAsia="Times New Roman" w:hAnsi="Times New Roman" w:cs="Times New Roman"/>
          <w:b/>
          <w:bCs/>
          <w:noProof/>
          <w:kern w:val="0"/>
          <w:sz w:val="27"/>
          <w:szCs w:val="27"/>
          <w14:ligatures w14:val="none"/>
        </w:rPr>
        <w:drawing>
          <wp:inline distT="0" distB="0" distL="0" distR="0" wp14:anchorId="16B98DEB" wp14:editId="67863E85">
            <wp:extent cx="2983038" cy="3497580"/>
            <wp:effectExtent l="0" t="0" r="8255" b="7620"/>
            <wp:docPr id="196203747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76297" name="Picture 1" descr="A screenshot of a graph&#10;&#10;Description automatically generated"/>
                    <pic:cNvPicPr/>
                  </pic:nvPicPr>
                  <pic:blipFill>
                    <a:blip r:embed="rId7"/>
                    <a:stretch>
                      <a:fillRect/>
                    </a:stretch>
                  </pic:blipFill>
                  <pic:spPr>
                    <a:xfrm>
                      <a:off x="0" y="0"/>
                      <a:ext cx="2985307" cy="3500241"/>
                    </a:xfrm>
                    <a:prstGeom prst="rect">
                      <a:avLst/>
                    </a:prstGeom>
                  </pic:spPr>
                </pic:pic>
              </a:graphicData>
            </a:graphic>
          </wp:inline>
        </w:drawing>
      </w:r>
    </w:p>
    <w:p w14:paraId="47A965BF" w14:textId="77777777" w:rsidR="005528FD" w:rsidRPr="002952CC"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The analysis yielded two distinct factors:</w:t>
      </w:r>
    </w:p>
    <w:p w14:paraId="48B134B7" w14:textId="77777777" w:rsidR="005528FD" w:rsidRPr="002952CC"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Factor 1: AI Access and Benefits</w:t>
      </w:r>
      <w:r w:rsidRPr="002952CC">
        <w:rPr>
          <w:rFonts w:ascii="Times New Roman" w:eastAsia="Times New Roman" w:hAnsi="Times New Roman" w:cs="Times New Roman"/>
          <w:kern w:val="0"/>
          <w14:ligatures w14:val="none"/>
        </w:rPr>
        <w:t xml:space="preserve"> (Primary loadings &gt; 0.5)</w:t>
      </w:r>
    </w:p>
    <w:p w14:paraId="514032A3"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Q15Benefits (0.607)</w:t>
      </w:r>
    </w:p>
    <w:p w14:paraId="26E36F1C"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Q10Training (0.722)</w:t>
      </w:r>
    </w:p>
    <w:p w14:paraId="7E2A3B1E"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Q9SocialJustice (0.554)</w:t>
      </w:r>
    </w:p>
    <w:p w14:paraId="352AE5B6"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lastRenderedPageBreak/>
        <w:t>Q8WidenGaps (0.512)</w:t>
      </w:r>
    </w:p>
    <w:p w14:paraId="49BB3BAD"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Q7AccessLearning (0.674)</w:t>
      </w:r>
    </w:p>
    <w:p w14:paraId="2EED3D68"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Q6AccessTools (0.720)</w:t>
      </w:r>
    </w:p>
    <w:p w14:paraId="5E59854A" w14:textId="77777777" w:rsidR="005528FD" w:rsidRPr="002952CC" w:rsidRDefault="005528FD" w:rsidP="005528F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Q12Policies (0.564)</w:t>
      </w:r>
    </w:p>
    <w:p w14:paraId="2B5B3ECD" w14:textId="77777777" w:rsidR="005528FD" w:rsidRPr="002952CC"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Factor 2: Barriers and Concerns</w:t>
      </w:r>
      <w:r w:rsidRPr="002952CC">
        <w:rPr>
          <w:rFonts w:ascii="Times New Roman" w:eastAsia="Times New Roman" w:hAnsi="Times New Roman" w:cs="Times New Roman"/>
          <w:kern w:val="0"/>
          <w14:ligatures w14:val="none"/>
        </w:rPr>
        <w:t xml:space="preserve"> (Primary loadings &gt; 0.6)</w:t>
      </w:r>
    </w:p>
    <w:p w14:paraId="66850CEC" w14:textId="77777777" w:rsidR="005528FD" w:rsidRPr="002952CC" w:rsidRDefault="005528FD" w:rsidP="005528F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Q14Barriers (0.660)</w:t>
      </w:r>
    </w:p>
    <w:p w14:paraId="194D9A65" w14:textId="77777777" w:rsidR="005528FD" w:rsidRPr="002952CC" w:rsidRDefault="005528FD" w:rsidP="005528F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Q13WorseAccess (0.792)</w:t>
      </w:r>
    </w:p>
    <w:p w14:paraId="5128D44E" w14:textId="77777777" w:rsidR="005528FD" w:rsidRPr="002952CC" w:rsidRDefault="005528FD" w:rsidP="005528F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Q11Biases (0.703)</w:t>
      </w:r>
    </w:p>
    <w:p w14:paraId="26659658" w14:textId="77777777" w:rsidR="005528FD" w:rsidRPr="002952CC" w:rsidRDefault="005528FD" w:rsidP="005528FD">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2952CC">
        <w:rPr>
          <w:rFonts w:ascii="Times New Roman" w:eastAsia="Times New Roman" w:hAnsi="Times New Roman" w:cs="Times New Roman"/>
          <w:b/>
          <w:bCs/>
          <w:kern w:val="0"/>
          <w:sz w:val="24"/>
          <w:szCs w:val="24"/>
          <w14:ligatures w14:val="none"/>
        </w:rPr>
        <w:t>Key Observations:</w:t>
      </w:r>
    </w:p>
    <w:p w14:paraId="224577ED" w14:textId="77777777" w:rsidR="005528FD" w:rsidRPr="002952CC" w:rsidRDefault="005528FD" w:rsidP="005528F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Clean Factor Structure</w:t>
      </w:r>
      <w:r w:rsidRPr="002952CC">
        <w:rPr>
          <w:rFonts w:ascii="Times New Roman" w:eastAsia="Times New Roman" w:hAnsi="Times New Roman" w:cs="Times New Roman"/>
          <w:kern w:val="0"/>
          <w14:ligatures w14:val="none"/>
        </w:rPr>
        <w:t xml:space="preserve">: </w:t>
      </w:r>
    </w:p>
    <w:p w14:paraId="5E167D49"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Most items load clearly on one factor</w:t>
      </w:r>
    </w:p>
    <w:p w14:paraId="1FD15095"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 xml:space="preserve">Q12Policies </w:t>
      </w:r>
      <w:proofErr w:type="gramStart"/>
      <w:r w:rsidRPr="002952CC">
        <w:rPr>
          <w:rFonts w:ascii="Times New Roman" w:eastAsia="Times New Roman" w:hAnsi="Times New Roman" w:cs="Times New Roman"/>
          <w:kern w:val="0"/>
          <w14:ligatures w14:val="none"/>
        </w:rPr>
        <w:t>shows</w:t>
      </w:r>
      <w:proofErr w:type="gramEnd"/>
      <w:r w:rsidRPr="002952CC">
        <w:rPr>
          <w:rFonts w:ascii="Times New Roman" w:eastAsia="Times New Roman" w:hAnsi="Times New Roman" w:cs="Times New Roman"/>
          <w:kern w:val="0"/>
          <w14:ligatures w14:val="none"/>
        </w:rPr>
        <w:t xml:space="preserve"> some cross-loading (0.564 on Factor 1, 0.445 on Factor 2)</w:t>
      </w:r>
    </w:p>
    <w:p w14:paraId="3C0D2FA8" w14:textId="77777777" w:rsidR="005528FD" w:rsidRPr="002952CC" w:rsidRDefault="005528FD" w:rsidP="005528F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Uniqueness Values</w:t>
      </w:r>
      <w:r w:rsidRPr="002952CC">
        <w:rPr>
          <w:rFonts w:ascii="Times New Roman" w:eastAsia="Times New Roman" w:hAnsi="Times New Roman" w:cs="Times New Roman"/>
          <w:kern w:val="0"/>
          <w14:ligatures w14:val="none"/>
        </w:rPr>
        <w:t xml:space="preserve">: </w:t>
      </w:r>
    </w:p>
    <w:p w14:paraId="60EA1D77"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Range from 0.367 (Q13WorseAccess) to 0.656 (Q9SocialJustice)</w:t>
      </w:r>
    </w:p>
    <w:p w14:paraId="10794B7B"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Lower uniqueness values indicate better factor representation</w:t>
      </w:r>
    </w:p>
    <w:p w14:paraId="18515AB8" w14:textId="77777777" w:rsidR="005528FD" w:rsidRPr="002952CC" w:rsidRDefault="005528FD" w:rsidP="005528F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Factor Interpretation</w:t>
      </w:r>
      <w:r w:rsidRPr="002952CC">
        <w:rPr>
          <w:rFonts w:ascii="Times New Roman" w:eastAsia="Times New Roman" w:hAnsi="Times New Roman" w:cs="Times New Roman"/>
          <w:kern w:val="0"/>
          <w14:ligatures w14:val="none"/>
        </w:rPr>
        <w:t xml:space="preserve">: </w:t>
      </w:r>
    </w:p>
    <w:p w14:paraId="0411FEB1"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Factor 1 represents positive aspects and access to AI</w:t>
      </w:r>
    </w:p>
    <w:p w14:paraId="41648878" w14:textId="77777777" w:rsidR="005528FD" w:rsidRPr="002952CC" w:rsidRDefault="005528FD" w:rsidP="005528F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Factor 2 captures concerns and potential negative impacts</w:t>
      </w:r>
    </w:p>
    <w:p w14:paraId="080CC1F8"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The analysis identified two primary factors:</w:t>
      </w:r>
    </w:p>
    <w:p w14:paraId="6C79F120" w14:textId="77777777" w:rsidR="00884E60" w:rsidRPr="00884E60" w:rsidRDefault="00884E60" w:rsidP="00884E60">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AI Access and Benefits</w:t>
      </w:r>
    </w:p>
    <w:p w14:paraId="1D245502" w14:textId="77777777" w:rsidR="00884E60" w:rsidRDefault="00884E60" w:rsidP="00884E60">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Barriers and Concerns</w:t>
      </w:r>
    </w:p>
    <w:p w14:paraId="4D684525" w14:textId="7EFDB6C6" w:rsidR="005528FD" w:rsidRPr="00884E60"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hAnsi="Times New Roman" w:cs="Times New Roman"/>
          <w:noProof/>
        </w:rPr>
        <w:drawing>
          <wp:inline distT="0" distB="0" distL="0" distR="0" wp14:anchorId="6659CACE" wp14:editId="1DC62ADD">
            <wp:extent cx="3209925" cy="941170"/>
            <wp:effectExtent l="0" t="0" r="0" b="0"/>
            <wp:docPr id="1137194905" name="Picture 1" descr="A screenshot of a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88828" name="Picture 1" descr="A screenshot of a statistics&#10;&#10;Description automatically generated"/>
                    <pic:cNvPicPr/>
                  </pic:nvPicPr>
                  <pic:blipFill rotWithShape="1">
                    <a:blip r:embed="rId8"/>
                    <a:srcRect t="32072"/>
                    <a:stretch/>
                  </pic:blipFill>
                  <pic:spPr bwMode="auto">
                    <a:xfrm>
                      <a:off x="0" y="0"/>
                      <a:ext cx="3247033" cy="952050"/>
                    </a:xfrm>
                    <a:prstGeom prst="rect">
                      <a:avLst/>
                    </a:prstGeom>
                    <a:ln>
                      <a:noFill/>
                    </a:ln>
                    <a:extLst>
                      <a:ext uri="{53640926-AAD7-44D8-BBD7-CCE9431645EC}">
                        <a14:shadowObscured xmlns:a14="http://schemas.microsoft.com/office/drawing/2010/main"/>
                      </a:ext>
                    </a:extLst>
                  </pic:spPr>
                </pic:pic>
              </a:graphicData>
            </a:graphic>
          </wp:inline>
        </w:drawing>
      </w:r>
    </w:p>
    <w:p w14:paraId="17E2A75A" w14:textId="481E02B5" w:rsidR="005528FD" w:rsidRPr="00884E60"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Style w:val="Strong"/>
          <w:rFonts w:ascii="Times New Roman" w:hAnsi="Times New Roman" w:cs="Times New Roman"/>
        </w:rPr>
        <w:t>Two-Factor Solution</w:t>
      </w:r>
      <w:r w:rsidRPr="002952CC">
        <w:rPr>
          <w:rFonts w:ascii="Times New Roman" w:hAnsi="Times New Roman" w:cs="Times New Roman"/>
        </w:rPr>
        <w:t xml:space="preserve">: These two factors combined account for </w:t>
      </w:r>
      <w:r w:rsidRPr="002952CC">
        <w:rPr>
          <w:rStyle w:val="Strong"/>
          <w:rFonts w:ascii="Times New Roman" w:hAnsi="Times New Roman" w:cs="Times New Roman"/>
        </w:rPr>
        <w:t>47.3%</w:t>
      </w:r>
      <w:r w:rsidRPr="002952CC">
        <w:rPr>
          <w:rFonts w:ascii="Times New Roman" w:hAnsi="Times New Roman" w:cs="Times New Roman"/>
        </w:rPr>
        <w:t xml:space="preserve"> of the total variance in the dataset. While this is less than 50%, it is still a reasonable amount of explained variance for a two-factor model</w:t>
      </w:r>
      <w:r>
        <w:rPr>
          <w:rFonts w:ascii="Times New Roman" w:hAnsi="Times New Roman" w:cs="Times New Roman"/>
        </w:rPr>
        <w:t>,</w:t>
      </w:r>
      <w:r w:rsidRPr="005528FD">
        <w:rPr>
          <w:rFonts w:ascii="Times New Roman" w:eastAsia="Times New Roman" w:hAnsi="Times New Roman" w:cs="Times New Roman"/>
          <w:kern w:val="0"/>
          <w14:ligatures w14:val="none"/>
        </w:rPr>
        <w:t xml:space="preserve"> </w:t>
      </w:r>
      <w:r w:rsidRPr="00884E60">
        <w:rPr>
          <w:rFonts w:ascii="Times New Roman" w:eastAsia="Times New Roman" w:hAnsi="Times New Roman" w:cs="Times New Roman"/>
          <w:kern w:val="0"/>
          <w14:ligatures w14:val="none"/>
        </w:rPr>
        <w:t>providing a clear structure for understanding how participants conceptualize AI's impact.</w:t>
      </w:r>
    </w:p>
    <w:p w14:paraId="31B36415" w14:textId="77777777" w:rsidR="001C7FAC" w:rsidRDefault="001C7FA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30CC53A" w14:textId="21040152" w:rsidR="00884E60" w:rsidRDefault="00884E60"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lastRenderedPageBreak/>
        <w:t>Figure 1: Scree Plot of Factor Analysis</w:t>
      </w:r>
    </w:p>
    <w:p w14:paraId="4D5C37B7" w14:textId="1AA6B77A" w:rsidR="005528FD" w:rsidRDefault="005528FD"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2952CC">
        <w:rPr>
          <w:rFonts w:ascii="Times New Roman" w:eastAsia="Times New Roman" w:hAnsi="Times New Roman" w:cs="Times New Roman"/>
          <w:b/>
          <w:bCs/>
          <w:noProof/>
          <w:kern w:val="0"/>
          <w:sz w:val="36"/>
          <w:szCs w:val="36"/>
          <w14:ligatures w14:val="none"/>
        </w:rPr>
        <w:drawing>
          <wp:inline distT="0" distB="0" distL="0" distR="0" wp14:anchorId="08D9803E" wp14:editId="4A28F9CD">
            <wp:extent cx="3149600" cy="1887740"/>
            <wp:effectExtent l="0" t="0" r="0" b="0"/>
            <wp:docPr id="1163803360" name="Picture 2" descr="A graph with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37129" name="Picture 2" descr="A graph with dots and numb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02" cy="1896072"/>
                    </a:xfrm>
                    <a:prstGeom prst="rect">
                      <a:avLst/>
                    </a:prstGeom>
                    <a:noFill/>
                    <a:ln>
                      <a:noFill/>
                    </a:ln>
                  </pic:spPr>
                </pic:pic>
              </a:graphicData>
            </a:graphic>
          </wp:inline>
        </w:drawing>
      </w:r>
    </w:p>
    <w:p w14:paraId="0477B742" w14:textId="77777777" w:rsidR="005528FD" w:rsidRPr="002952CC"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The scree plot provides crucial information for determining the optimal number of factors to retain:</w:t>
      </w:r>
    </w:p>
    <w:p w14:paraId="7FBE1871" w14:textId="77777777" w:rsidR="005528FD" w:rsidRPr="002952CC" w:rsidRDefault="005528FD" w:rsidP="005528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Visual Analysis</w:t>
      </w:r>
      <w:r w:rsidRPr="002952CC">
        <w:rPr>
          <w:rFonts w:ascii="Times New Roman" w:eastAsia="Times New Roman" w:hAnsi="Times New Roman" w:cs="Times New Roman"/>
          <w:kern w:val="0"/>
          <w14:ligatures w14:val="none"/>
        </w:rPr>
        <w:t xml:space="preserve">: </w:t>
      </w:r>
    </w:p>
    <w:p w14:paraId="3ABCB378"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A clear "elbow" is visible at component 2</w:t>
      </w:r>
    </w:p>
    <w:p w14:paraId="743DC55A"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The first component shows the highest eigenvalue (approximately 3.2)</w:t>
      </w:r>
    </w:p>
    <w:p w14:paraId="00C907D5"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The second component has an eigenvalue just above 1.0</w:t>
      </w:r>
    </w:p>
    <w:p w14:paraId="3B3E2CDA"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Components after 2 show eigenvalues below 1.0 with a gradual leveling off</w:t>
      </w:r>
    </w:p>
    <w:p w14:paraId="5B4B830F" w14:textId="77777777" w:rsidR="005528FD" w:rsidRPr="002952CC" w:rsidRDefault="005528FD" w:rsidP="005528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Kaiser Criterion (Eigenvalue &gt; 1)</w:t>
      </w:r>
      <w:r w:rsidRPr="002952CC">
        <w:rPr>
          <w:rFonts w:ascii="Times New Roman" w:eastAsia="Times New Roman" w:hAnsi="Times New Roman" w:cs="Times New Roman"/>
          <w:kern w:val="0"/>
          <w14:ligatures w14:val="none"/>
        </w:rPr>
        <w:t xml:space="preserve">: </w:t>
      </w:r>
    </w:p>
    <w:p w14:paraId="7AEFAFE9"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Only two components have eigenvalues greater than 1.0</w:t>
      </w:r>
    </w:p>
    <w:p w14:paraId="583C7933"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This suggests a two-factor solution would be most appropriate</w:t>
      </w:r>
    </w:p>
    <w:p w14:paraId="23028799" w14:textId="77777777" w:rsidR="005528FD" w:rsidRPr="002952CC" w:rsidRDefault="005528FD" w:rsidP="005528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b/>
          <w:bCs/>
          <w:kern w:val="0"/>
          <w14:ligatures w14:val="none"/>
        </w:rPr>
        <w:t>Variance Explanation</w:t>
      </w:r>
      <w:r w:rsidRPr="002952CC">
        <w:rPr>
          <w:rFonts w:ascii="Times New Roman" w:eastAsia="Times New Roman" w:hAnsi="Times New Roman" w:cs="Times New Roman"/>
          <w:kern w:val="0"/>
          <w14:ligatures w14:val="none"/>
        </w:rPr>
        <w:t xml:space="preserve">: </w:t>
      </w:r>
    </w:p>
    <w:p w14:paraId="3318CBE7"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The steep drop between components 1 and 2 indicates the first component explains a large portion of the variance</w:t>
      </w:r>
    </w:p>
    <w:p w14:paraId="59533628" w14:textId="77777777" w:rsidR="005528FD" w:rsidRPr="002952CC"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 xml:space="preserve">The second component adds </w:t>
      </w:r>
      <w:r>
        <w:rPr>
          <w:rFonts w:ascii="Times New Roman" w:eastAsia="Times New Roman" w:hAnsi="Times New Roman" w:cs="Times New Roman"/>
          <w:kern w:val="0"/>
          <w14:ligatures w14:val="none"/>
        </w:rPr>
        <w:t xml:space="preserve">a </w:t>
      </w:r>
      <w:r w:rsidRPr="002952CC">
        <w:rPr>
          <w:rFonts w:ascii="Times New Roman" w:eastAsia="Times New Roman" w:hAnsi="Times New Roman" w:cs="Times New Roman"/>
          <w:kern w:val="0"/>
          <w14:ligatures w14:val="none"/>
        </w:rPr>
        <w:t>meaningful but smaller additional explanation</w:t>
      </w:r>
    </w:p>
    <w:p w14:paraId="6851832E" w14:textId="77777777" w:rsidR="005528FD" w:rsidRDefault="005528FD" w:rsidP="005528F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952CC">
        <w:rPr>
          <w:rFonts w:ascii="Times New Roman" w:eastAsia="Times New Roman" w:hAnsi="Times New Roman" w:cs="Times New Roman"/>
          <w:kern w:val="0"/>
          <w14:ligatures w14:val="none"/>
        </w:rPr>
        <w:t>Components 3-10 contribute minimal additional explanation</w:t>
      </w:r>
    </w:p>
    <w:p w14:paraId="0606BB4F" w14:textId="7E3E031A" w:rsidR="005528FD" w:rsidRPr="005528FD"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 xml:space="preserve">The two-factor solution provides a reasonable explanation of the variance in the data, with Factor 1 (AI Access and Benefits) being the strongest contributor. </w:t>
      </w:r>
    </w:p>
    <w:p w14:paraId="05B07C66"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t>Gender Analysis</w:t>
      </w:r>
    </w:p>
    <w:p w14:paraId="5EA10A54"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Our examination of gender differences revealed interesting patterns in how male and female respondents perceive AI's impact.</w:t>
      </w:r>
    </w:p>
    <w:p w14:paraId="361C24E8" w14:textId="1B347E1D" w:rsidR="00884E60" w:rsidRDefault="00884E60"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t>Table 6: Gender Comparison Results</w:t>
      </w:r>
    </w:p>
    <w:p w14:paraId="4E0127D1" w14:textId="4BE1DF86" w:rsidR="001C7FAC" w:rsidRDefault="001C7FAC" w:rsidP="002952CC">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One-Way Nova</w:t>
      </w:r>
    </w:p>
    <w:p w14:paraId="0C46FF40" w14:textId="1ABAE171" w:rsidR="00E57AC4" w:rsidRDefault="00E57AC4" w:rsidP="002952CC">
      <w:pPr>
        <w:spacing w:before="100" w:beforeAutospacing="1" w:after="100" w:afterAutospacing="1" w:line="240" w:lineRule="auto"/>
        <w:rPr>
          <w:rFonts w:ascii="Times New Roman" w:eastAsia="Times New Roman" w:hAnsi="Times New Roman" w:cs="Times New Roman"/>
          <w:b/>
          <w:bCs/>
          <w:kern w:val="0"/>
          <w14:ligatures w14:val="none"/>
        </w:rPr>
      </w:pPr>
      <w:r w:rsidRPr="00F916F0">
        <w:rPr>
          <w:noProof/>
        </w:rPr>
        <w:lastRenderedPageBreak/>
        <w:drawing>
          <wp:inline distT="0" distB="0" distL="0" distR="0" wp14:anchorId="0E675F74" wp14:editId="57AE5BA2">
            <wp:extent cx="3994150" cy="2090261"/>
            <wp:effectExtent l="0" t="0" r="6350" b="5715"/>
            <wp:docPr id="4412982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98244" name="Picture 1" descr="A screenshot of a computer&#10;&#10;Description automatically generated"/>
                    <pic:cNvPicPr/>
                  </pic:nvPicPr>
                  <pic:blipFill rotWithShape="1">
                    <a:blip r:embed="rId10"/>
                    <a:srcRect t="18989" r="28654"/>
                    <a:stretch/>
                  </pic:blipFill>
                  <pic:spPr bwMode="auto">
                    <a:xfrm>
                      <a:off x="0" y="0"/>
                      <a:ext cx="4024512" cy="2106151"/>
                    </a:xfrm>
                    <a:prstGeom prst="rect">
                      <a:avLst/>
                    </a:prstGeom>
                    <a:ln>
                      <a:noFill/>
                    </a:ln>
                    <a:extLst>
                      <a:ext uri="{53640926-AAD7-44D8-BBD7-CCE9431645EC}">
                        <a14:shadowObscured xmlns:a14="http://schemas.microsoft.com/office/drawing/2010/main"/>
                      </a:ext>
                    </a:extLst>
                  </pic:spPr>
                </pic:pic>
              </a:graphicData>
            </a:graphic>
          </wp:inline>
        </w:drawing>
      </w:r>
    </w:p>
    <w:p w14:paraId="202A771D" w14:textId="6B3D32ED" w:rsidR="00884E60" w:rsidRPr="00884E60" w:rsidRDefault="00E57AC4"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Welch’s</w:t>
      </w:r>
      <w:r w:rsidR="00884E60" w:rsidRPr="00884E60">
        <w:rPr>
          <w:rFonts w:ascii="Times New Roman" w:eastAsia="Times New Roman" w:hAnsi="Times New Roman" w:cs="Times New Roman"/>
          <w:kern w:val="0"/>
          <w14:ligatures w14:val="none"/>
        </w:rPr>
        <w:t xml:space="preserve"> ANOVA showed no significant gender differences (</w:t>
      </w:r>
      <w:proofErr w:type="gramStart"/>
      <w:r w:rsidR="00884E60" w:rsidRPr="00884E60">
        <w:rPr>
          <w:rFonts w:ascii="Times New Roman" w:eastAsia="Times New Roman" w:hAnsi="Times New Roman" w:cs="Times New Roman"/>
          <w:kern w:val="0"/>
          <w14:ligatures w14:val="none"/>
        </w:rPr>
        <w:t>F(</w:t>
      </w:r>
      <w:proofErr w:type="gramEnd"/>
      <w:r w:rsidR="00884E60" w:rsidRPr="00884E60">
        <w:rPr>
          <w:rFonts w:ascii="Times New Roman" w:eastAsia="Times New Roman" w:hAnsi="Times New Roman" w:cs="Times New Roman"/>
          <w:kern w:val="0"/>
          <w14:ligatures w14:val="none"/>
        </w:rPr>
        <w:t>1, 89.1) = 0.00171, p = 0.967), suggesting that concerns about AI access and impact transcend gender lines within the Black community.</w:t>
      </w:r>
    </w:p>
    <w:p w14:paraId="18284BF5"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t>Correlation Analysis</w:t>
      </w:r>
    </w:p>
    <w:p w14:paraId="5CF6C73A"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We identified several significant relationships between key survey components.</w:t>
      </w:r>
    </w:p>
    <w:p w14:paraId="0245D204" w14:textId="745E991B" w:rsidR="00884E60" w:rsidRDefault="00884E60" w:rsidP="00884E60">
      <w:pPr>
        <w:spacing w:before="100" w:beforeAutospacing="1" w:after="100" w:afterAutospacing="1" w:line="240" w:lineRule="auto"/>
        <w:rPr>
          <w:rFonts w:ascii="Times New Roman" w:eastAsia="Times New Roman" w:hAnsi="Times New Roman" w:cs="Times New Roman"/>
          <w:b/>
          <w:bCs/>
          <w:kern w:val="0"/>
          <w14:ligatures w14:val="none"/>
        </w:rPr>
      </w:pPr>
      <w:r w:rsidRPr="00884E60">
        <w:rPr>
          <w:rFonts w:ascii="Times New Roman" w:eastAsia="Times New Roman" w:hAnsi="Times New Roman" w:cs="Times New Roman"/>
          <w:b/>
          <w:bCs/>
          <w:kern w:val="0"/>
          <w14:ligatures w14:val="none"/>
        </w:rPr>
        <w:t>Table 7: Correlation Matrix</w:t>
      </w:r>
    </w:p>
    <w:p w14:paraId="2763548D" w14:textId="28AF703A" w:rsidR="00E57AC4" w:rsidRPr="00884E60" w:rsidRDefault="00E57AC4" w:rsidP="00884E60">
      <w:pPr>
        <w:spacing w:before="100" w:beforeAutospacing="1" w:after="100" w:afterAutospacing="1" w:line="240" w:lineRule="auto"/>
        <w:rPr>
          <w:rFonts w:ascii="Times New Roman" w:eastAsia="Times New Roman" w:hAnsi="Times New Roman" w:cs="Times New Roman"/>
          <w:b/>
          <w:bCs/>
          <w:kern w:val="0"/>
          <w14:ligatures w14:val="none"/>
        </w:rPr>
      </w:pPr>
      <w:r w:rsidRPr="006D30F5">
        <w:rPr>
          <w:noProof/>
        </w:rPr>
        <w:drawing>
          <wp:inline distT="0" distB="0" distL="0" distR="0" wp14:anchorId="6D713417" wp14:editId="7C2B7119">
            <wp:extent cx="3740150" cy="2549455"/>
            <wp:effectExtent l="0" t="0" r="0" b="3810"/>
            <wp:docPr id="11571362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36247" name="Picture 1"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t="13097"/>
                    <a:stretch/>
                  </pic:blipFill>
                  <pic:spPr bwMode="auto">
                    <a:xfrm>
                      <a:off x="0" y="0"/>
                      <a:ext cx="3760021" cy="2563000"/>
                    </a:xfrm>
                    <a:prstGeom prst="rect">
                      <a:avLst/>
                    </a:prstGeom>
                    <a:ln>
                      <a:noFill/>
                    </a:ln>
                    <a:extLst>
                      <a:ext uri="{53640926-AAD7-44D8-BBD7-CCE9431645EC}">
                        <a14:shadowObscured xmlns:a14="http://schemas.microsoft.com/office/drawing/2010/main"/>
                      </a:ext>
                    </a:extLst>
                  </pic:spPr>
                </pic:pic>
              </a:graphicData>
            </a:graphic>
          </wp:inline>
        </w:drawing>
      </w:r>
    </w:p>
    <w:p w14:paraId="4B96A40A"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Notable correlations included:</w:t>
      </w:r>
    </w:p>
    <w:p w14:paraId="6D200380" w14:textId="77777777" w:rsidR="00884E60" w:rsidRPr="00884E60" w:rsidRDefault="00884E60" w:rsidP="00884E60">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Access and Impact: r = 0.503, p &lt; .001</w:t>
      </w:r>
    </w:p>
    <w:p w14:paraId="00333D9D" w14:textId="77777777" w:rsidR="00884E60" w:rsidRPr="00884E60" w:rsidRDefault="00884E60" w:rsidP="00884E60">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Barriers and Impact: r = 0.607, p &lt; .001</w:t>
      </w:r>
    </w:p>
    <w:p w14:paraId="48CF6A1B" w14:textId="77777777" w:rsidR="00884E60" w:rsidRPr="00884E60" w:rsidRDefault="00884E60" w:rsidP="00884E60">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Access and Barriers: r = 0.302, p = .003</w:t>
      </w:r>
    </w:p>
    <w:p w14:paraId="58265EE2" w14:textId="77777777" w:rsidR="00884E60" w:rsidRPr="00884E60" w:rsidRDefault="00884E60" w:rsidP="00884E60">
      <w:pPr>
        <w:spacing w:before="100" w:beforeAutospacing="1" w:after="100" w:afterAutospacing="1" w:line="240" w:lineRule="auto"/>
        <w:rPr>
          <w:rFonts w:ascii="Times New Roman" w:eastAsia="Times New Roman" w:hAnsi="Times New Roman" w:cs="Times New Roman"/>
          <w:kern w:val="0"/>
          <w14:ligatures w14:val="none"/>
        </w:rPr>
      </w:pPr>
      <w:r w:rsidRPr="00884E60">
        <w:rPr>
          <w:rFonts w:ascii="Times New Roman" w:eastAsia="Times New Roman" w:hAnsi="Times New Roman" w:cs="Times New Roman"/>
          <w:kern w:val="0"/>
          <w14:ligatures w14:val="none"/>
        </w:rPr>
        <w:t>These relationships suggest interconnected perceptions of access, barriers, and societal impact.</w:t>
      </w:r>
    </w:p>
    <w:p w14:paraId="2AD1BC0D"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Discussion</w:t>
      </w:r>
    </w:p>
    <w:p w14:paraId="4B27F605"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lastRenderedPageBreak/>
        <w:t>Integration of Findings</w:t>
      </w:r>
    </w:p>
    <w:p w14:paraId="5715F99A"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Our results paint a complex picture of how Black communities perceive and interact with AI technologies. The strong correlation between barriers and societal impact (r = 0.607) suggests that respondents who identify more systemic barriers also tend to perceive stronger implications for social equity.</w:t>
      </w:r>
    </w:p>
    <w:p w14:paraId="6C214AE3" w14:textId="20DB72CC" w:rsidR="003E2449" w:rsidRPr="003E2449" w:rsidRDefault="005528FD" w:rsidP="003E2449">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Tab</w:t>
      </w:r>
      <w:r w:rsidR="003E2449" w:rsidRPr="003E2449">
        <w:rPr>
          <w:rFonts w:ascii="Times New Roman" w:eastAsia="Times New Roman" w:hAnsi="Times New Roman" w:cs="Times New Roman"/>
          <w:b/>
          <w:bCs/>
          <w:kern w:val="0"/>
          <w14:ligatures w14:val="none"/>
        </w:rPr>
        <w:t>l</w:t>
      </w:r>
      <w:r w:rsidR="003E2449" w:rsidRPr="005528FD">
        <w:rPr>
          <w:rFonts w:ascii="Times New Roman" w:eastAsia="Times New Roman" w:hAnsi="Times New Roman" w:cs="Times New Roman"/>
          <w:b/>
          <w:bCs/>
          <w:kern w:val="0"/>
          <w14:ligatures w14:val="none"/>
        </w:rPr>
        <w:t>e 8: Summary of Key Findings</w:t>
      </w:r>
    </w:p>
    <w:tbl>
      <w:tblPr>
        <w:tblW w:w="9397" w:type="dxa"/>
        <w:tblInd w:w="-5" w:type="dxa"/>
        <w:tblLook w:val="04A0" w:firstRow="1" w:lastRow="0" w:firstColumn="1" w:lastColumn="0" w:noHBand="0" w:noVBand="1"/>
      </w:tblPr>
      <w:tblGrid>
        <w:gridCol w:w="1526"/>
        <w:gridCol w:w="2307"/>
        <w:gridCol w:w="2102"/>
        <w:gridCol w:w="3462"/>
      </w:tblGrid>
      <w:tr w:rsidR="002F58C9" w:rsidRPr="002F58C9" w14:paraId="506A0831" w14:textId="77777777" w:rsidTr="002F58C9">
        <w:trPr>
          <w:trHeight w:val="210"/>
        </w:trPr>
        <w:tc>
          <w:tcPr>
            <w:tcW w:w="152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CA261DA"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Finding Category</w:t>
            </w:r>
          </w:p>
        </w:tc>
        <w:tc>
          <w:tcPr>
            <w:tcW w:w="2307" w:type="dxa"/>
            <w:tcBorders>
              <w:top w:val="single" w:sz="4" w:space="0" w:color="auto"/>
              <w:left w:val="nil"/>
              <w:bottom w:val="single" w:sz="4" w:space="0" w:color="auto"/>
              <w:right w:val="single" w:sz="4" w:space="0" w:color="auto"/>
            </w:tcBorders>
            <w:shd w:val="clear" w:color="000000" w:fill="BFBFBF"/>
            <w:vAlign w:val="center"/>
            <w:hideMark/>
          </w:tcPr>
          <w:p w14:paraId="5C90DD88"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Key Result</w:t>
            </w:r>
          </w:p>
        </w:tc>
        <w:tc>
          <w:tcPr>
            <w:tcW w:w="2102" w:type="dxa"/>
            <w:tcBorders>
              <w:top w:val="single" w:sz="4" w:space="0" w:color="auto"/>
              <w:left w:val="nil"/>
              <w:bottom w:val="single" w:sz="4" w:space="0" w:color="auto"/>
              <w:right w:val="single" w:sz="4" w:space="0" w:color="auto"/>
            </w:tcBorders>
            <w:shd w:val="clear" w:color="000000" w:fill="BFBFBF"/>
            <w:vAlign w:val="center"/>
            <w:hideMark/>
          </w:tcPr>
          <w:p w14:paraId="3C8F957B"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Statistical Support</w:t>
            </w:r>
          </w:p>
        </w:tc>
        <w:tc>
          <w:tcPr>
            <w:tcW w:w="3462" w:type="dxa"/>
            <w:tcBorders>
              <w:top w:val="single" w:sz="4" w:space="0" w:color="auto"/>
              <w:left w:val="nil"/>
              <w:bottom w:val="single" w:sz="4" w:space="0" w:color="auto"/>
              <w:right w:val="single" w:sz="4" w:space="0" w:color="auto"/>
            </w:tcBorders>
            <w:shd w:val="clear" w:color="000000" w:fill="BFBFBF"/>
            <w:vAlign w:val="center"/>
            <w:hideMark/>
          </w:tcPr>
          <w:p w14:paraId="6B6658D0"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Implications</w:t>
            </w:r>
          </w:p>
        </w:tc>
      </w:tr>
      <w:tr w:rsidR="002F58C9" w:rsidRPr="002F58C9" w14:paraId="48BBAB42"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0EC9178C"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Scale Reliability</w:t>
            </w:r>
          </w:p>
        </w:tc>
        <w:tc>
          <w:tcPr>
            <w:tcW w:w="2307" w:type="dxa"/>
            <w:tcBorders>
              <w:top w:val="nil"/>
              <w:left w:val="nil"/>
              <w:bottom w:val="single" w:sz="4" w:space="0" w:color="auto"/>
              <w:right w:val="single" w:sz="4" w:space="0" w:color="auto"/>
            </w:tcBorders>
            <w:shd w:val="clear" w:color="auto" w:fill="auto"/>
            <w:vAlign w:val="center"/>
            <w:hideMark/>
          </w:tcPr>
          <w:p w14:paraId="5398FDDF"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High internal consistency</w:t>
            </w:r>
          </w:p>
        </w:tc>
        <w:tc>
          <w:tcPr>
            <w:tcW w:w="2102" w:type="dxa"/>
            <w:tcBorders>
              <w:top w:val="nil"/>
              <w:left w:val="nil"/>
              <w:bottom w:val="single" w:sz="4" w:space="0" w:color="auto"/>
              <w:right w:val="single" w:sz="4" w:space="0" w:color="auto"/>
            </w:tcBorders>
            <w:shd w:val="clear" w:color="auto" w:fill="auto"/>
            <w:vAlign w:val="center"/>
            <w:hideMark/>
          </w:tcPr>
          <w:p w14:paraId="2F502DB4"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Cronbach's Î± = 0.834</w:t>
            </w:r>
          </w:p>
        </w:tc>
        <w:tc>
          <w:tcPr>
            <w:tcW w:w="3462" w:type="dxa"/>
            <w:tcBorders>
              <w:top w:val="nil"/>
              <w:left w:val="nil"/>
              <w:bottom w:val="single" w:sz="4" w:space="0" w:color="auto"/>
              <w:right w:val="single" w:sz="4" w:space="0" w:color="auto"/>
            </w:tcBorders>
            <w:shd w:val="clear" w:color="auto" w:fill="auto"/>
            <w:vAlign w:val="center"/>
            <w:hideMark/>
          </w:tcPr>
          <w:p w14:paraId="31F61621"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Survey instrument is reliable for measuring AI perceptions</w:t>
            </w:r>
          </w:p>
        </w:tc>
      </w:tr>
      <w:tr w:rsidR="002F58C9" w:rsidRPr="002F58C9" w14:paraId="3A8ADC85"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62A5D073"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Factor Structure</w:t>
            </w:r>
          </w:p>
        </w:tc>
        <w:tc>
          <w:tcPr>
            <w:tcW w:w="2307" w:type="dxa"/>
            <w:tcBorders>
              <w:top w:val="nil"/>
              <w:left w:val="nil"/>
              <w:bottom w:val="single" w:sz="4" w:space="0" w:color="auto"/>
              <w:right w:val="single" w:sz="4" w:space="0" w:color="auto"/>
            </w:tcBorders>
            <w:shd w:val="clear" w:color="auto" w:fill="auto"/>
            <w:vAlign w:val="center"/>
            <w:hideMark/>
          </w:tcPr>
          <w:p w14:paraId="0E3AC4F1"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Two distinct factors emerged</w:t>
            </w:r>
          </w:p>
        </w:tc>
        <w:tc>
          <w:tcPr>
            <w:tcW w:w="2102" w:type="dxa"/>
            <w:tcBorders>
              <w:top w:val="nil"/>
              <w:left w:val="nil"/>
              <w:bottom w:val="single" w:sz="4" w:space="0" w:color="auto"/>
              <w:right w:val="single" w:sz="4" w:space="0" w:color="auto"/>
            </w:tcBorders>
            <w:shd w:val="clear" w:color="auto" w:fill="auto"/>
            <w:vAlign w:val="center"/>
            <w:hideMark/>
          </w:tcPr>
          <w:p w14:paraId="7FA1FA02"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47.3% variance explained</w:t>
            </w:r>
          </w:p>
        </w:tc>
        <w:tc>
          <w:tcPr>
            <w:tcW w:w="3462" w:type="dxa"/>
            <w:tcBorders>
              <w:top w:val="nil"/>
              <w:left w:val="nil"/>
              <w:bottom w:val="single" w:sz="4" w:space="0" w:color="auto"/>
              <w:right w:val="single" w:sz="4" w:space="0" w:color="auto"/>
            </w:tcBorders>
            <w:shd w:val="clear" w:color="auto" w:fill="auto"/>
            <w:vAlign w:val="center"/>
            <w:hideMark/>
          </w:tcPr>
          <w:p w14:paraId="0401223B"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AI perceptions split between access/benefits and barriers/concerns</w:t>
            </w:r>
          </w:p>
        </w:tc>
      </w:tr>
      <w:tr w:rsidR="002F58C9" w:rsidRPr="002F58C9" w14:paraId="10F700F4"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7C3A9ECC"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Gender Differences</w:t>
            </w:r>
          </w:p>
        </w:tc>
        <w:tc>
          <w:tcPr>
            <w:tcW w:w="2307" w:type="dxa"/>
            <w:tcBorders>
              <w:top w:val="nil"/>
              <w:left w:val="nil"/>
              <w:bottom w:val="single" w:sz="4" w:space="0" w:color="auto"/>
              <w:right w:val="single" w:sz="4" w:space="0" w:color="auto"/>
            </w:tcBorders>
            <w:shd w:val="clear" w:color="auto" w:fill="auto"/>
            <w:vAlign w:val="center"/>
            <w:hideMark/>
          </w:tcPr>
          <w:p w14:paraId="6FEAF90F"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No significant differences</w:t>
            </w:r>
          </w:p>
        </w:tc>
        <w:tc>
          <w:tcPr>
            <w:tcW w:w="2102" w:type="dxa"/>
            <w:tcBorders>
              <w:top w:val="nil"/>
              <w:left w:val="nil"/>
              <w:bottom w:val="single" w:sz="4" w:space="0" w:color="auto"/>
              <w:right w:val="single" w:sz="4" w:space="0" w:color="auto"/>
            </w:tcBorders>
            <w:shd w:val="clear" w:color="auto" w:fill="auto"/>
            <w:vAlign w:val="center"/>
            <w:hideMark/>
          </w:tcPr>
          <w:p w14:paraId="2461A585"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proofErr w:type="gramStart"/>
            <w:r w:rsidRPr="002F58C9">
              <w:rPr>
                <w:rFonts w:ascii="Times New Roman" w:eastAsia="Times New Roman" w:hAnsi="Times New Roman" w:cs="Times New Roman"/>
                <w:color w:val="000000"/>
                <w:kern w:val="0"/>
                <w:sz w:val="18"/>
                <w:szCs w:val="18"/>
                <w14:ligatures w14:val="none"/>
              </w:rPr>
              <w:t>F(</w:t>
            </w:r>
            <w:proofErr w:type="gramEnd"/>
            <w:r w:rsidRPr="002F58C9">
              <w:rPr>
                <w:rFonts w:ascii="Times New Roman" w:eastAsia="Times New Roman" w:hAnsi="Times New Roman" w:cs="Times New Roman"/>
                <w:color w:val="000000"/>
                <w:kern w:val="0"/>
                <w:sz w:val="18"/>
                <w:szCs w:val="18"/>
                <w14:ligatures w14:val="none"/>
              </w:rPr>
              <w:t>1, 89.1) = 0.00171, p = 0.967</w:t>
            </w:r>
          </w:p>
        </w:tc>
        <w:tc>
          <w:tcPr>
            <w:tcW w:w="3462" w:type="dxa"/>
            <w:tcBorders>
              <w:top w:val="nil"/>
              <w:left w:val="nil"/>
              <w:bottom w:val="single" w:sz="4" w:space="0" w:color="auto"/>
              <w:right w:val="single" w:sz="4" w:space="0" w:color="auto"/>
            </w:tcBorders>
            <w:shd w:val="clear" w:color="auto" w:fill="auto"/>
            <w:vAlign w:val="center"/>
            <w:hideMark/>
          </w:tcPr>
          <w:p w14:paraId="5117968A"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AI concerns transcend gender in Black communities</w:t>
            </w:r>
          </w:p>
        </w:tc>
      </w:tr>
      <w:tr w:rsidR="002F58C9" w:rsidRPr="002F58C9" w14:paraId="2C798972"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6EEC5BCB"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Access-Impact</w:t>
            </w:r>
          </w:p>
        </w:tc>
        <w:tc>
          <w:tcPr>
            <w:tcW w:w="2307" w:type="dxa"/>
            <w:tcBorders>
              <w:top w:val="nil"/>
              <w:left w:val="nil"/>
              <w:bottom w:val="single" w:sz="4" w:space="0" w:color="auto"/>
              <w:right w:val="single" w:sz="4" w:space="0" w:color="auto"/>
            </w:tcBorders>
            <w:shd w:val="clear" w:color="auto" w:fill="auto"/>
            <w:vAlign w:val="center"/>
            <w:hideMark/>
          </w:tcPr>
          <w:p w14:paraId="7C8A5BB3"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Strong positive correlation</w:t>
            </w:r>
          </w:p>
        </w:tc>
        <w:tc>
          <w:tcPr>
            <w:tcW w:w="2102" w:type="dxa"/>
            <w:tcBorders>
              <w:top w:val="nil"/>
              <w:left w:val="nil"/>
              <w:bottom w:val="single" w:sz="4" w:space="0" w:color="auto"/>
              <w:right w:val="single" w:sz="4" w:space="0" w:color="auto"/>
            </w:tcBorders>
            <w:shd w:val="clear" w:color="auto" w:fill="auto"/>
            <w:vAlign w:val="center"/>
            <w:hideMark/>
          </w:tcPr>
          <w:p w14:paraId="62ECE407"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r = 0.503, p &lt; .001</w:t>
            </w:r>
          </w:p>
        </w:tc>
        <w:tc>
          <w:tcPr>
            <w:tcW w:w="3462" w:type="dxa"/>
            <w:tcBorders>
              <w:top w:val="nil"/>
              <w:left w:val="nil"/>
              <w:bottom w:val="single" w:sz="4" w:space="0" w:color="auto"/>
              <w:right w:val="single" w:sz="4" w:space="0" w:color="auto"/>
            </w:tcBorders>
            <w:shd w:val="clear" w:color="auto" w:fill="auto"/>
            <w:vAlign w:val="center"/>
            <w:hideMark/>
          </w:tcPr>
          <w:p w14:paraId="34F4C014"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Access to AI tools closely tied to perceived societal impact</w:t>
            </w:r>
          </w:p>
        </w:tc>
      </w:tr>
      <w:tr w:rsidR="002F58C9" w:rsidRPr="002F58C9" w14:paraId="263BE7B5"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4D9AAD82"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Barriers-Impact</w:t>
            </w:r>
          </w:p>
        </w:tc>
        <w:tc>
          <w:tcPr>
            <w:tcW w:w="2307" w:type="dxa"/>
            <w:tcBorders>
              <w:top w:val="nil"/>
              <w:left w:val="nil"/>
              <w:bottom w:val="single" w:sz="4" w:space="0" w:color="auto"/>
              <w:right w:val="single" w:sz="4" w:space="0" w:color="auto"/>
            </w:tcBorders>
            <w:shd w:val="clear" w:color="auto" w:fill="auto"/>
            <w:vAlign w:val="center"/>
            <w:hideMark/>
          </w:tcPr>
          <w:p w14:paraId="41FF3EED"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Strongest correlation observed</w:t>
            </w:r>
          </w:p>
        </w:tc>
        <w:tc>
          <w:tcPr>
            <w:tcW w:w="2102" w:type="dxa"/>
            <w:tcBorders>
              <w:top w:val="nil"/>
              <w:left w:val="nil"/>
              <w:bottom w:val="single" w:sz="4" w:space="0" w:color="auto"/>
              <w:right w:val="single" w:sz="4" w:space="0" w:color="auto"/>
            </w:tcBorders>
            <w:shd w:val="clear" w:color="auto" w:fill="auto"/>
            <w:vAlign w:val="center"/>
            <w:hideMark/>
          </w:tcPr>
          <w:p w14:paraId="781DD6BF"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r = 0.607, p &lt; .001</w:t>
            </w:r>
          </w:p>
        </w:tc>
        <w:tc>
          <w:tcPr>
            <w:tcW w:w="3462" w:type="dxa"/>
            <w:tcBorders>
              <w:top w:val="nil"/>
              <w:left w:val="nil"/>
              <w:bottom w:val="single" w:sz="4" w:space="0" w:color="auto"/>
              <w:right w:val="single" w:sz="4" w:space="0" w:color="auto"/>
            </w:tcBorders>
            <w:shd w:val="clear" w:color="auto" w:fill="auto"/>
            <w:vAlign w:val="center"/>
            <w:hideMark/>
          </w:tcPr>
          <w:p w14:paraId="2BC4569F"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Systemic barriers significantly influence impact perceptions</w:t>
            </w:r>
          </w:p>
        </w:tc>
      </w:tr>
      <w:tr w:rsidR="002F58C9" w:rsidRPr="002F58C9" w14:paraId="4BC09371" w14:textId="77777777" w:rsidTr="002F58C9">
        <w:trPr>
          <w:trHeight w:val="421"/>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6334CB57"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Social Justice Concerns</w:t>
            </w:r>
          </w:p>
        </w:tc>
        <w:tc>
          <w:tcPr>
            <w:tcW w:w="2307" w:type="dxa"/>
            <w:tcBorders>
              <w:top w:val="nil"/>
              <w:left w:val="nil"/>
              <w:bottom w:val="single" w:sz="4" w:space="0" w:color="auto"/>
              <w:right w:val="single" w:sz="4" w:space="0" w:color="auto"/>
            </w:tcBorders>
            <w:shd w:val="clear" w:color="auto" w:fill="auto"/>
            <w:vAlign w:val="center"/>
            <w:hideMark/>
          </w:tcPr>
          <w:p w14:paraId="7B69B878"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Lowest mean score</w:t>
            </w:r>
          </w:p>
        </w:tc>
        <w:tc>
          <w:tcPr>
            <w:tcW w:w="2102" w:type="dxa"/>
            <w:tcBorders>
              <w:top w:val="nil"/>
              <w:left w:val="nil"/>
              <w:bottom w:val="single" w:sz="4" w:space="0" w:color="auto"/>
              <w:right w:val="single" w:sz="4" w:space="0" w:color="auto"/>
            </w:tcBorders>
            <w:shd w:val="clear" w:color="auto" w:fill="auto"/>
            <w:vAlign w:val="center"/>
            <w:hideMark/>
          </w:tcPr>
          <w:p w14:paraId="21D6DB11"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M = 3.17</w:t>
            </w:r>
          </w:p>
        </w:tc>
        <w:tc>
          <w:tcPr>
            <w:tcW w:w="3462" w:type="dxa"/>
            <w:tcBorders>
              <w:top w:val="nil"/>
              <w:left w:val="nil"/>
              <w:bottom w:val="single" w:sz="4" w:space="0" w:color="auto"/>
              <w:right w:val="single" w:sz="4" w:space="0" w:color="auto"/>
            </w:tcBorders>
            <w:shd w:val="clear" w:color="auto" w:fill="auto"/>
            <w:vAlign w:val="center"/>
            <w:hideMark/>
          </w:tcPr>
          <w:p w14:paraId="4A9EDE3C"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Indicates significant concerns about AI's role in social justice</w:t>
            </w:r>
          </w:p>
        </w:tc>
      </w:tr>
      <w:tr w:rsidR="002F58C9" w:rsidRPr="002F58C9" w14:paraId="6EDC06AE" w14:textId="77777777" w:rsidTr="002F58C9">
        <w:trPr>
          <w:trHeight w:val="210"/>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35E52241"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Policy Perceptions</w:t>
            </w:r>
          </w:p>
        </w:tc>
        <w:tc>
          <w:tcPr>
            <w:tcW w:w="2307" w:type="dxa"/>
            <w:tcBorders>
              <w:top w:val="nil"/>
              <w:left w:val="nil"/>
              <w:bottom w:val="single" w:sz="4" w:space="0" w:color="auto"/>
              <w:right w:val="single" w:sz="4" w:space="0" w:color="auto"/>
            </w:tcBorders>
            <w:shd w:val="clear" w:color="auto" w:fill="auto"/>
            <w:vAlign w:val="center"/>
            <w:hideMark/>
          </w:tcPr>
          <w:p w14:paraId="325FE70A"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Highest mean score</w:t>
            </w:r>
          </w:p>
        </w:tc>
        <w:tc>
          <w:tcPr>
            <w:tcW w:w="2102" w:type="dxa"/>
            <w:tcBorders>
              <w:top w:val="nil"/>
              <w:left w:val="nil"/>
              <w:bottom w:val="single" w:sz="4" w:space="0" w:color="auto"/>
              <w:right w:val="single" w:sz="4" w:space="0" w:color="auto"/>
            </w:tcBorders>
            <w:shd w:val="clear" w:color="auto" w:fill="auto"/>
            <w:vAlign w:val="center"/>
            <w:hideMark/>
          </w:tcPr>
          <w:p w14:paraId="242F32CA"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M = 4.11</w:t>
            </w:r>
          </w:p>
        </w:tc>
        <w:tc>
          <w:tcPr>
            <w:tcW w:w="3462" w:type="dxa"/>
            <w:tcBorders>
              <w:top w:val="nil"/>
              <w:left w:val="nil"/>
              <w:bottom w:val="single" w:sz="4" w:space="0" w:color="auto"/>
              <w:right w:val="single" w:sz="4" w:space="0" w:color="auto"/>
            </w:tcBorders>
            <w:shd w:val="clear" w:color="auto" w:fill="auto"/>
            <w:vAlign w:val="center"/>
            <w:hideMark/>
          </w:tcPr>
          <w:p w14:paraId="41BC4626" w14:textId="77777777" w:rsidR="002F58C9" w:rsidRPr="002F58C9" w:rsidRDefault="002F58C9" w:rsidP="002F58C9">
            <w:pPr>
              <w:spacing w:after="0" w:line="240" w:lineRule="auto"/>
              <w:rPr>
                <w:rFonts w:ascii="Times New Roman" w:eastAsia="Times New Roman" w:hAnsi="Times New Roman" w:cs="Times New Roman"/>
                <w:color w:val="000000"/>
                <w:kern w:val="0"/>
                <w:sz w:val="18"/>
                <w:szCs w:val="18"/>
                <w14:ligatures w14:val="none"/>
              </w:rPr>
            </w:pPr>
            <w:r w:rsidRPr="002F58C9">
              <w:rPr>
                <w:rFonts w:ascii="Times New Roman" w:eastAsia="Times New Roman" w:hAnsi="Times New Roman" w:cs="Times New Roman"/>
                <w:color w:val="000000"/>
                <w:kern w:val="0"/>
                <w:sz w:val="18"/>
                <w:szCs w:val="18"/>
                <w14:ligatures w14:val="none"/>
              </w:rPr>
              <w:t>Strong support for policy interventions</w:t>
            </w:r>
          </w:p>
        </w:tc>
      </w:tr>
    </w:tbl>
    <w:p w14:paraId="2F69C8F0" w14:textId="2CDAFDF2" w:rsidR="005528FD" w:rsidRP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Policy Implications</w:t>
      </w:r>
    </w:p>
    <w:p w14:paraId="084E7729"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The data suggests several key areas for policy intervention:</w:t>
      </w:r>
    </w:p>
    <w:p w14:paraId="453E01F3" w14:textId="77777777" w:rsidR="005528FD" w:rsidRPr="005528FD" w:rsidRDefault="005528FD" w:rsidP="005528F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Access Enhancement</w:t>
      </w:r>
    </w:p>
    <w:p w14:paraId="76DDA340" w14:textId="77777777" w:rsidR="005528FD" w:rsidRPr="005528FD" w:rsidRDefault="005528FD" w:rsidP="005528FD">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Current perceptions of access barriers</w:t>
      </w:r>
    </w:p>
    <w:p w14:paraId="2FCCB9D9" w14:textId="77777777" w:rsidR="005528FD" w:rsidRPr="005528FD" w:rsidRDefault="005528FD" w:rsidP="005528FD">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Potential solutions and their expected impact</w:t>
      </w:r>
    </w:p>
    <w:p w14:paraId="5C028D60" w14:textId="77777777" w:rsidR="005528FD" w:rsidRPr="005528FD" w:rsidRDefault="005528FD" w:rsidP="005528F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Educational Initiatives</w:t>
      </w:r>
    </w:p>
    <w:p w14:paraId="68F68A04" w14:textId="77777777" w:rsidR="005528FD" w:rsidRPr="005528FD" w:rsidRDefault="005528FD" w:rsidP="005528F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Training needs assessment</w:t>
      </w:r>
    </w:p>
    <w:p w14:paraId="5519BC1B" w14:textId="77777777" w:rsidR="005528FD" w:rsidRPr="005528FD" w:rsidRDefault="005528FD" w:rsidP="005528F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Program development recommendations</w:t>
      </w:r>
    </w:p>
    <w:p w14:paraId="57522CED" w14:textId="2AB83F96" w:rsid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Table 9: Policy Recommendation Matrix</w:t>
      </w:r>
    </w:p>
    <w:p w14:paraId="3D66332D" w14:textId="0073FE0E" w:rsidR="003E2449" w:rsidRPr="005528FD" w:rsidRDefault="00482475" w:rsidP="005528FD">
      <w:pPr>
        <w:spacing w:before="100" w:beforeAutospacing="1" w:after="100" w:afterAutospacing="1" w:line="240" w:lineRule="auto"/>
        <w:rPr>
          <w:rFonts w:ascii="Times New Roman" w:eastAsia="Times New Roman" w:hAnsi="Times New Roman" w:cs="Times New Roman"/>
          <w:kern w:val="0"/>
          <w14:ligatures w14:val="none"/>
        </w:rPr>
      </w:pPr>
      <w:r w:rsidRPr="00482475">
        <w:rPr>
          <w:noProof/>
        </w:rPr>
        <w:lastRenderedPageBreak/>
        <w:drawing>
          <wp:inline distT="0" distB="0" distL="0" distR="0" wp14:anchorId="4D86E3E6" wp14:editId="6A975995">
            <wp:extent cx="5943600" cy="1916430"/>
            <wp:effectExtent l="0" t="0" r="0" b="7620"/>
            <wp:docPr id="56841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16430"/>
                    </a:xfrm>
                    <a:prstGeom prst="rect">
                      <a:avLst/>
                    </a:prstGeom>
                    <a:noFill/>
                    <a:ln>
                      <a:noFill/>
                    </a:ln>
                  </pic:spPr>
                </pic:pic>
              </a:graphicData>
            </a:graphic>
          </wp:inline>
        </w:drawing>
      </w:r>
    </w:p>
    <w:p w14:paraId="06926721"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Future Research Directions</w:t>
      </w:r>
    </w:p>
    <w:p w14:paraId="398B0719"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Our findings suggest several promising avenues for future investigation:</w:t>
      </w:r>
    </w:p>
    <w:p w14:paraId="259C2712" w14:textId="77777777" w:rsidR="005528FD" w:rsidRPr="005528FD" w:rsidRDefault="005528FD" w:rsidP="005528F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Longitudinal Studies</w:t>
      </w:r>
    </w:p>
    <w:p w14:paraId="7293A0F9" w14:textId="77777777" w:rsidR="005528FD" w:rsidRPr="005528FD" w:rsidRDefault="005528FD" w:rsidP="005528FD">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Track changes in perceptions over time</w:t>
      </w:r>
    </w:p>
    <w:p w14:paraId="24935C95" w14:textId="77777777" w:rsidR="005528FD" w:rsidRPr="005528FD" w:rsidRDefault="005528FD" w:rsidP="005528FD">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Monitor impact of interventions</w:t>
      </w:r>
    </w:p>
    <w:p w14:paraId="445377CD" w14:textId="77777777" w:rsidR="005528FD" w:rsidRPr="005528FD" w:rsidRDefault="005528FD" w:rsidP="005528FD">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Expanded Demographics</w:t>
      </w:r>
    </w:p>
    <w:p w14:paraId="5127CBBD" w14:textId="77777777" w:rsidR="005528FD" w:rsidRPr="005528FD" w:rsidRDefault="005528FD" w:rsidP="005528FD">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Broader community representation</w:t>
      </w:r>
    </w:p>
    <w:p w14:paraId="7EBFEA72" w14:textId="77777777" w:rsidR="005528FD" w:rsidRPr="005528FD" w:rsidRDefault="005528FD" w:rsidP="005528FD">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5528FD">
        <w:rPr>
          <w:rFonts w:ascii="Times New Roman" w:eastAsia="Times New Roman" w:hAnsi="Times New Roman" w:cs="Times New Roman"/>
          <w:kern w:val="0"/>
          <w14:ligatures w14:val="none"/>
        </w:rPr>
        <w:t>Intersectional analysis opportunities</w:t>
      </w:r>
    </w:p>
    <w:p w14:paraId="239220FC" w14:textId="398F1F1C" w:rsid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Table 10: Proposed Research Extensions</w:t>
      </w:r>
    </w:p>
    <w:p w14:paraId="7369C9FE" w14:textId="7562423F" w:rsidR="003E2449" w:rsidRPr="005528FD" w:rsidRDefault="001C7FAC" w:rsidP="005528FD">
      <w:pPr>
        <w:spacing w:before="100" w:beforeAutospacing="1" w:after="100" w:afterAutospacing="1" w:line="240" w:lineRule="auto"/>
        <w:rPr>
          <w:rFonts w:ascii="Times New Roman" w:eastAsia="Times New Roman" w:hAnsi="Times New Roman" w:cs="Times New Roman"/>
          <w:kern w:val="0"/>
          <w14:ligatures w14:val="none"/>
        </w:rPr>
      </w:pPr>
      <w:r w:rsidRPr="001C7FAC">
        <w:rPr>
          <w:noProof/>
        </w:rPr>
        <w:drawing>
          <wp:inline distT="0" distB="0" distL="0" distR="0" wp14:anchorId="71482D13" wp14:editId="01DB811C">
            <wp:extent cx="5943600" cy="2543175"/>
            <wp:effectExtent l="0" t="0" r="0" b="9525"/>
            <wp:docPr id="3126216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380829E8" w14:textId="77777777" w:rsidR="005528FD" w:rsidRP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Conclusion</w:t>
      </w:r>
    </w:p>
    <w:p w14:paraId="5EF271CB" w14:textId="39A75AB1" w:rsidR="001C7FAC" w:rsidRDefault="005528FD" w:rsidP="001C7FAC">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kern w:val="0"/>
          <w14:ligatures w14:val="none"/>
        </w:rPr>
        <w:t xml:space="preserve">Our analysis reveals a nuanced understanding of AI's impact within Black communities. While participants recognize AI's potential benefits, they also express significant concerns about access barriers </w:t>
      </w:r>
      <w:r w:rsidRPr="005528FD">
        <w:rPr>
          <w:rFonts w:ascii="Times New Roman" w:eastAsia="Times New Roman" w:hAnsi="Times New Roman" w:cs="Times New Roman"/>
          <w:kern w:val="0"/>
          <w14:ligatures w14:val="none"/>
        </w:rPr>
        <w:lastRenderedPageBreak/>
        <w:t>and social justice implications. These findings suggest the need for targeted interventions that address both technical access and systemic barriers.</w:t>
      </w:r>
    </w:p>
    <w:p w14:paraId="25F84B09" w14:textId="0F0C1E48" w:rsidR="005528FD" w:rsidRDefault="005528FD" w:rsidP="005528FD">
      <w:pPr>
        <w:spacing w:before="100" w:beforeAutospacing="1" w:after="100" w:afterAutospacing="1" w:line="240" w:lineRule="auto"/>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t>Table 11: Summary of Conclusions and Recommendations</w:t>
      </w:r>
    </w:p>
    <w:p w14:paraId="5196C8DF" w14:textId="17703E58" w:rsidR="003E2449" w:rsidRPr="005528FD" w:rsidRDefault="001C7FAC" w:rsidP="005528FD">
      <w:pPr>
        <w:spacing w:before="100" w:beforeAutospacing="1" w:after="100" w:afterAutospacing="1" w:line="240" w:lineRule="auto"/>
        <w:rPr>
          <w:rFonts w:ascii="Times New Roman" w:eastAsia="Times New Roman" w:hAnsi="Times New Roman" w:cs="Times New Roman"/>
          <w:kern w:val="0"/>
          <w14:ligatures w14:val="none"/>
        </w:rPr>
      </w:pPr>
      <w:r w:rsidRPr="001C7FAC">
        <w:rPr>
          <w:noProof/>
        </w:rPr>
        <w:drawing>
          <wp:inline distT="0" distB="0" distL="0" distR="0" wp14:anchorId="0303C0C9" wp14:editId="27C4953A">
            <wp:extent cx="5943600" cy="4004945"/>
            <wp:effectExtent l="0" t="0" r="0" b="0"/>
            <wp:docPr id="1415013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04945"/>
                    </a:xfrm>
                    <a:prstGeom prst="rect">
                      <a:avLst/>
                    </a:prstGeom>
                    <a:noFill/>
                    <a:ln>
                      <a:noFill/>
                    </a:ln>
                  </pic:spPr>
                </pic:pic>
              </a:graphicData>
            </a:graphic>
          </wp:inline>
        </w:drawing>
      </w:r>
    </w:p>
    <w:p w14:paraId="400151DC" w14:textId="77777777" w:rsidR="001C7FAC" w:rsidRDefault="001C7FA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416351D1" w14:textId="4582A504" w:rsidR="005528FD" w:rsidRDefault="005528FD" w:rsidP="001C7FAC">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5528FD">
        <w:rPr>
          <w:rFonts w:ascii="Times New Roman" w:eastAsia="Times New Roman" w:hAnsi="Times New Roman" w:cs="Times New Roman"/>
          <w:b/>
          <w:bCs/>
          <w:kern w:val="0"/>
          <w14:ligatures w14:val="none"/>
        </w:rPr>
        <w:lastRenderedPageBreak/>
        <w:t>References</w:t>
      </w:r>
    </w:p>
    <w:p w14:paraId="0305F15C"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Campana, K., Mills, J. E., Kociubuk, J., &amp; Martin, M. H. (2022). Access, advocacy, and impact: How public libraries are contributing to educational equity for children and families in underserved communities. Journal of Research in Childhood Education, 36(4), 561-576. </w:t>
      </w:r>
    </w:p>
    <w:p w14:paraId="160901E2" w14:textId="77777777" w:rsidR="001C7FAC" w:rsidRPr="001C7FAC" w:rsidRDefault="001C7FAC" w:rsidP="001C7FAC">
      <w:pPr>
        <w:pStyle w:val="EndNoteBibliography"/>
        <w:spacing w:after="0"/>
        <w:ind w:left="720" w:hanging="720"/>
        <w:rPr>
          <w:rFonts w:ascii="Times New Roman" w:hAnsi="Times New Roman" w:cs="Times New Roman"/>
        </w:rPr>
      </w:pPr>
    </w:p>
    <w:p w14:paraId="7299FC10"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Carter, L., Liu, D., &amp; Cantrell, C. (2020). Exploring the intersection of the digital divide and artificial intelligence: A hermeneutic literature review. AIS Transactions on Human-Computer Interaction, 12(4), 253-275. </w:t>
      </w:r>
    </w:p>
    <w:p w14:paraId="1867F52A" w14:textId="77777777" w:rsidR="001C7FAC" w:rsidRPr="001C7FAC" w:rsidRDefault="001C7FAC" w:rsidP="001C7FAC">
      <w:pPr>
        <w:pStyle w:val="EndNoteBibliography"/>
        <w:spacing w:after="0"/>
        <w:ind w:left="720" w:hanging="720"/>
        <w:rPr>
          <w:rFonts w:ascii="Times New Roman" w:hAnsi="Times New Roman" w:cs="Times New Roman"/>
        </w:rPr>
      </w:pPr>
    </w:p>
    <w:p w14:paraId="67350FC4"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Cohen, J. (1992). A power primer. </w:t>
      </w:r>
      <w:r w:rsidRPr="001C7FAC">
        <w:rPr>
          <w:rFonts w:ascii="Times New Roman" w:hAnsi="Times New Roman" w:cs="Times New Roman"/>
          <w:i/>
          <w:iCs/>
        </w:rPr>
        <w:t>Psychological Bulletin</w:t>
      </w:r>
      <w:r w:rsidRPr="001C7FAC">
        <w:rPr>
          <w:rFonts w:ascii="Times New Roman" w:hAnsi="Times New Roman" w:cs="Times New Roman"/>
        </w:rPr>
        <w:t>, 112(1), 155–159. </w:t>
      </w:r>
      <w:hyperlink r:id="rId15" w:tgtFrame="_blank" w:history="1">
        <w:r w:rsidRPr="001C7FAC">
          <w:rPr>
            <w:rStyle w:val="Hyperlink"/>
            <w:rFonts w:ascii="Times New Roman" w:hAnsi="Times New Roman" w:cs="Times New Roman"/>
          </w:rPr>
          <w:t>https://doi.org/10.1037/0033-2909.112.1.155</w:t>
        </w:r>
      </w:hyperlink>
    </w:p>
    <w:p w14:paraId="79AAC54A" w14:textId="77777777" w:rsidR="001C7FAC" w:rsidRPr="001C7FAC" w:rsidRDefault="001C7FAC" w:rsidP="001C7FAC">
      <w:pPr>
        <w:pStyle w:val="EndNoteBibliography"/>
        <w:spacing w:after="0"/>
        <w:ind w:left="720" w:hanging="720"/>
        <w:rPr>
          <w:rFonts w:ascii="Times New Roman" w:hAnsi="Times New Roman" w:cs="Times New Roman"/>
        </w:rPr>
      </w:pPr>
    </w:p>
    <w:p w14:paraId="275FA816"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Cohron, M. (2015). The continuing digital divide in the United States. The Serials Librarian, 69(1), 77-86. </w:t>
      </w:r>
    </w:p>
    <w:p w14:paraId="1BC025BE" w14:textId="77777777" w:rsidR="001C7FAC" w:rsidRPr="001C7FAC" w:rsidRDefault="001C7FAC" w:rsidP="001C7FAC">
      <w:pPr>
        <w:pStyle w:val="EndNoteBibliography"/>
        <w:ind w:left="720" w:hanging="720"/>
        <w:rPr>
          <w:rFonts w:ascii="Times New Roman" w:hAnsi="Times New Roman" w:cs="Times New Roman"/>
        </w:rPr>
      </w:pPr>
    </w:p>
    <w:p w14:paraId="3574A405" w14:textId="77777777" w:rsidR="001C7FAC" w:rsidRPr="001C7FAC" w:rsidRDefault="001C7FAC" w:rsidP="001C7FAC">
      <w:pPr>
        <w:pStyle w:val="EndNoteBibliography"/>
        <w:ind w:left="720" w:hanging="720"/>
        <w:rPr>
          <w:rFonts w:ascii="Times New Roman" w:hAnsi="Times New Roman" w:cs="Times New Roman"/>
        </w:rPr>
      </w:pPr>
      <w:r w:rsidRPr="001C7FAC">
        <w:rPr>
          <w:rFonts w:ascii="Times New Roman" w:hAnsi="Times New Roman" w:cs="Times New Roman"/>
        </w:rPr>
        <w:t>DeVellis, R. F. (2017). </w:t>
      </w:r>
      <w:r w:rsidRPr="001C7FAC">
        <w:rPr>
          <w:rFonts w:ascii="Times New Roman" w:hAnsi="Times New Roman" w:cs="Times New Roman"/>
          <w:i/>
          <w:iCs/>
        </w:rPr>
        <w:t>Scale development: Theory and applications </w:t>
      </w:r>
      <w:r w:rsidRPr="001C7FAC">
        <w:rPr>
          <w:rFonts w:ascii="Times New Roman" w:hAnsi="Times New Roman" w:cs="Times New Roman"/>
        </w:rPr>
        <w:t>(Fourth). SAGE Publications, Inc.</w:t>
      </w:r>
    </w:p>
    <w:p w14:paraId="56C51DEB" w14:textId="77777777" w:rsidR="001C7FAC" w:rsidRPr="001C7FAC" w:rsidRDefault="001C7FAC" w:rsidP="001C7FAC">
      <w:pPr>
        <w:pStyle w:val="EndNoteBibliography"/>
        <w:spacing w:after="0"/>
        <w:ind w:left="720" w:hanging="720"/>
        <w:rPr>
          <w:rFonts w:ascii="Times New Roman" w:hAnsi="Times New Roman" w:cs="Times New Roman"/>
        </w:rPr>
      </w:pPr>
    </w:p>
    <w:p w14:paraId="6319B2DC"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Ellison, T. L., &amp; Solomon, M. (2019). Counter-storytelling vs. deficit thinking around African American children and families, digital literacies, race, and the digital divide. Research in the Teaching of English, 53(3), 223-244. </w:t>
      </w:r>
    </w:p>
    <w:p w14:paraId="6BEF90BD" w14:textId="77777777" w:rsidR="001C7FAC" w:rsidRPr="001C7FAC" w:rsidRDefault="001C7FAC" w:rsidP="001C7FAC">
      <w:pPr>
        <w:pStyle w:val="EndNoteBibliography"/>
        <w:spacing w:after="0"/>
        <w:ind w:left="720" w:hanging="720"/>
        <w:rPr>
          <w:rFonts w:ascii="Times New Roman" w:hAnsi="Times New Roman" w:cs="Times New Roman"/>
        </w:rPr>
      </w:pPr>
    </w:p>
    <w:p w14:paraId="6090954C"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Emem, O. (2023). Education Equity and Technology Divide in the United States. International Journal of Science and Research Archive, 10(1), 775-782. </w:t>
      </w:r>
    </w:p>
    <w:p w14:paraId="25BC8184" w14:textId="77777777" w:rsidR="001C7FAC" w:rsidRPr="001C7FAC" w:rsidRDefault="001C7FAC" w:rsidP="001C7FAC">
      <w:pPr>
        <w:pStyle w:val="EndNoteBibliography"/>
        <w:spacing w:after="0"/>
        <w:ind w:left="720" w:hanging="720"/>
        <w:rPr>
          <w:rFonts w:ascii="Times New Roman" w:hAnsi="Times New Roman" w:cs="Times New Roman"/>
        </w:rPr>
      </w:pPr>
    </w:p>
    <w:p w14:paraId="4BC176ED" w14:textId="77777777" w:rsidR="001C7FAC" w:rsidRPr="001C7FAC" w:rsidRDefault="001C7FAC" w:rsidP="001C7FAC">
      <w:pPr>
        <w:pStyle w:val="EndNoteBibliography"/>
        <w:spacing w:after="0"/>
        <w:ind w:left="720" w:hanging="720"/>
        <w:rPr>
          <w:rFonts w:ascii="Times New Roman" w:hAnsi="Times New Roman" w:cs="Times New Roman"/>
        </w:rPr>
      </w:pPr>
      <w:r w:rsidRPr="001C7FAC">
        <w:rPr>
          <w:rFonts w:ascii="Times New Roman" w:hAnsi="Times New Roman" w:cs="Times New Roman"/>
        </w:rPr>
        <w:t xml:space="preserve">ScienceDirect. (n.d.). Pearson Correlation. Retreived November 17, 2024, from </w:t>
      </w:r>
      <w:hyperlink r:id="rId16" w:anchor=":~:text=Pearson%20Correlation%20is%20a%20statistical,near%20zero%20indicates%20no%20correlation." w:history="1">
        <w:r w:rsidRPr="001C7FAC">
          <w:rPr>
            <w:rStyle w:val="Hyperlink"/>
            <w:rFonts w:ascii="Times New Roman" w:hAnsi="Times New Roman" w:cs="Times New Roman"/>
          </w:rPr>
          <w:t>Pearson Correlation - an overview | ScienceDirect Topics</w:t>
        </w:r>
      </w:hyperlink>
    </w:p>
    <w:p w14:paraId="7142E9A8" w14:textId="77777777" w:rsidR="001C7FAC" w:rsidRPr="005528FD" w:rsidRDefault="001C7FAC" w:rsidP="005528FD">
      <w:pPr>
        <w:spacing w:before="100" w:beforeAutospacing="1" w:after="100" w:afterAutospacing="1" w:line="240" w:lineRule="auto"/>
        <w:rPr>
          <w:rFonts w:ascii="Times New Roman" w:eastAsia="Times New Roman" w:hAnsi="Times New Roman" w:cs="Times New Roman"/>
          <w:kern w:val="0"/>
          <w14:ligatures w14:val="none"/>
        </w:rPr>
      </w:pPr>
    </w:p>
    <w:sectPr w:rsidR="001C7FAC" w:rsidRPr="00552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4EB"/>
    <w:multiLevelType w:val="multilevel"/>
    <w:tmpl w:val="94D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1FD4"/>
    <w:multiLevelType w:val="multilevel"/>
    <w:tmpl w:val="955A0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A5071"/>
    <w:multiLevelType w:val="multilevel"/>
    <w:tmpl w:val="9C88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51746"/>
    <w:multiLevelType w:val="multilevel"/>
    <w:tmpl w:val="174A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F2265"/>
    <w:multiLevelType w:val="multilevel"/>
    <w:tmpl w:val="62B09A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50A18EB"/>
    <w:multiLevelType w:val="multilevel"/>
    <w:tmpl w:val="2B220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F49E5"/>
    <w:multiLevelType w:val="multilevel"/>
    <w:tmpl w:val="3AD44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970D5"/>
    <w:multiLevelType w:val="multilevel"/>
    <w:tmpl w:val="CAC227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CEB000C"/>
    <w:multiLevelType w:val="multilevel"/>
    <w:tmpl w:val="F86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45BFC"/>
    <w:multiLevelType w:val="multilevel"/>
    <w:tmpl w:val="52CA6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F4A74"/>
    <w:multiLevelType w:val="multilevel"/>
    <w:tmpl w:val="04EAEB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B1E2564"/>
    <w:multiLevelType w:val="multilevel"/>
    <w:tmpl w:val="6686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26425"/>
    <w:multiLevelType w:val="multilevel"/>
    <w:tmpl w:val="3A38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036B5"/>
    <w:multiLevelType w:val="multilevel"/>
    <w:tmpl w:val="19A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F4A1D"/>
    <w:multiLevelType w:val="multilevel"/>
    <w:tmpl w:val="20C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62708"/>
    <w:multiLevelType w:val="multilevel"/>
    <w:tmpl w:val="3D16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255DB"/>
    <w:multiLevelType w:val="multilevel"/>
    <w:tmpl w:val="CEF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034CB"/>
    <w:multiLevelType w:val="multilevel"/>
    <w:tmpl w:val="1D14E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61AE0B18"/>
    <w:multiLevelType w:val="multilevel"/>
    <w:tmpl w:val="A2A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2751D"/>
    <w:multiLevelType w:val="multilevel"/>
    <w:tmpl w:val="3E06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00C92"/>
    <w:multiLevelType w:val="multilevel"/>
    <w:tmpl w:val="B86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874F9"/>
    <w:multiLevelType w:val="multilevel"/>
    <w:tmpl w:val="A8C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A3965"/>
    <w:multiLevelType w:val="multilevel"/>
    <w:tmpl w:val="30A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37C86"/>
    <w:multiLevelType w:val="multilevel"/>
    <w:tmpl w:val="C874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67608">
    <w:abstractNumId w:val="11"/>
  </w:num>
  <w:num w:numId="2" w16cid:durableId="1096748235">
    <w:abstractNumId w:val="22"/>
  </w:num>
  <w:num w:numId="3" w16cid:durableId="1497384429">
    <w:abstractNumId w:val="23"/>
  </w:num>
  <w:num w:numId="4" w16cid:durableId="1440905737">
    <w:abstractNumId w:val="13"/>
  </w:num>
  <w:num w:numId="5" w16cid:durableId="1911890131">
    <w:abstractNumId w:val="0"/>
  </w:num>
  <w:num w:numId="6" w16cid:durableId="1461144943">
    <w:abstractNumId w:val="20"/>
  </w:num>
  <w:num w:numId="7" w16cid:durableId="1388724823">
    <w:abstractNumId w:val="18"/>
  </w:num>
  <w:num w:numId="8" w16cid:durableId="1032002064">
    <w:abstractNumId w:val="14"/>
  </w:num>
  <w:num w:numId="9" w16cid:durableId="364066371">
    <w:abstractNumId w:val="12"/>
  </w:num>
  <w:num w:numId="10" w16cid:durableId="1764719893">
    <w:abstractNumId w:val="9"/>
  </w:num>
  <w:num w:numId="11" w16cid:durableId="1182864621">
    <w:abstractNumId w:val="16"/>
  </w:num>
  <w:num w:numId="12" w16cid:durableId="743377657">
    <w:abstractNumId w:val="21"/>
  </w:num>
  <w:num w:numId="13" w16cid:durableId="1896774793">
    <w:abstractNumId w:val="6"/>
  </w:num>
  <w:num w:numId="14" w16cid:durableId="1615401225">
    <w:abstractNumId w:val="19"/>
  </w:num>
  <w:num w:numId="15" w16cid:durableId="1754400074">
    <w:abstractNumId w:val="3"/>
  </w:num>
  <w:num w:numId="16" w16cid:durableId="1404986873">
    <w:abstractNumId w:val="8"/>
  </w:num>
  <w:num w:numId="17" w16cid:durableId="1185830364">
    <w:abstractNumId w:val="15"/>
  </w:num>
  <w:num w:numId="18" w16cid:durableId="2055542291">
    <w:abstractNumId w:val="7"/>
  </w:num>
  <w:num w:numId="19" w16cid:durableId="1898011866">
    <w:abstractNumId w:val="1"/>
  </w:num>
  <w:num w:numId="20" w16cid:durableId="1858738367">
    <w:abstractNumId w:val="17"/>
  </w:num>
  <w:num w:numId="21" w16cid:durableId="1616059751">
    <w:abstractNumId w:val="2"/>
  </w:num>
  <w:num w:numId="22" w16cid:durableId="1847164113">
    <w:abstractNumId w:val="4"/>
  </w:num>
  <w:num w:numId="23" w16cid:durableId="1544557840">
    <w:abstractNumId w:val="5"/>
  </w:num>
  <w:num w:numId="24" w16cid:durableId="448744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A6"/>
    <w:rsid w:val="001C7FAC"/>
    <w:rsid w:val="002952CC"/>
    <w:rsid w:val="002F58C9"/>
    <w:rsid w:val="003E2449"/>
    <w:rsid w:val="00482475"/>
    <w:rsid w:val="005528FD"/>
    <w:rsid w:val="007E1057"/>
    <w:rsid w:val="00884E60"/>
    <w:rsid w:val="009635CB"/>
    <w:rsid w:val="009C7013"/>
    <w:rsid w:val="00A71E67"/>
    <w:rsid w:val="00DD7ECE"/>
    <w:rsid w:val="00E57AC4"/>
    <w:rsid w:val="00EC3A63"/>
    <w:rsid w:val="00EF4732"/>
    <w:rsid w:val="00F01B60"/>
    <w:rsid w:val="00F23E54"/>
    <w:rsid w:val="00F2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E5990"/>
  <w15:chartTrackingRefBased/>
  <w15:docId w15:val="{1E244C8C-B7E8-48BC-A4AF-AABDE1F1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FD"/>
    <w:rPr>
      <w:rFonts w:asciiTheme="minorHAnsi" w:hAnsiTheme="minorHAnsi"/>
      <w:sz w:val="22"/>
      <w:szCs w:val="22"/>
    </w:rPr>
  </w:style>
  <w:style w:type="paragraph" w:styleId="Heading1">
    <w:name w:val="heading 1"/>
    <w:basedOn w:val="Normal"/>
    <w:next w:val="Normal"/>
    <w:link w:val="Heading1Char"/>
    <w:uiPriority w:val="9"/>
    <w:qFormat/>
    <w:rsid w:val="00F27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79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79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79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79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79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79A6"/>
    <w:pPr>
      <w:spacing w:before="160"/>
      <w:jc w:val="center"/>
    </w:pPr>
    <w:rPr>
      <w:i/>
      <w:iCs/>
      <w:color w:val="404040" w:themeColor="text1" w:themeTint="BF"/>
    </w:rPr>
  </w:style>
  <w:style w:type="character" w:customStyle="1" w:styleId="QuoteChar">
    <w:name w:val="Quote Char"/>
    <w:basedOn w:val="DefaultParagraphFont"/>
    <w:link w:val="Quote"/>
    <w:uiPriority w:val="29"/>
    <w:rsid w:val="00F279A6"/>
    <w:rPr>
      <w:i/>
      <w:iCs/>
      <w:color w:val="404040" w:themeColor="text1" w:themeTint="BF"/>
    </w:rPr>
  </w:style>
  <w:style w:type="paragraph" w:styleId="ListParagraph">
    <w:name w:val="List Paragraph"/>
    <w:basedOn w:val="Normal"/>
    <w:uiPriority w:val="34"/>
    <w:qFormat/>
    <w:rsid w:val="00F279A6"/>
    <w:pPr>
      <w:ind w:left="720"/>
      <w:contextualSpacing/>
    </w:pPr>
  </w:style>
  <w:style w:type="character" w:styleId="IntenseEmphasis">
    <w:name w:val="Intense Emphasis"/>
    <w:basedOn w:val="DefaultParagraphFont"/>
    <w:uiPriority w:val="21"/>
    <w:qFormat/>
    <w:rsid w:val="00F279A6"/>
    <w:rPr>
      <w:i/>
      <w:iCs/>
      <w:color w:val="0F4761" w:themeColor="accent1" w:themeShade="BF"/>
    </w:rPr>
  </w:style>
  <w:style w:type="paragraph" w:styleId="IntenseQuote">
    <w:name w:val="Intense Quote"/>
    <w:basedOn w:val="Normal"/>
    <w:next w:val="Normal"/>
    <w:link w:val="IntenseQuoteChar"/>
    <w:uiPriority w:val="30"/>
    <w:qFormat/>
    <w:rsid w:val="00F27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A6"/>
    <w:rPr>
      <w:i/>
      <w:iCs/>
      <w:color w:val="0F4761" w:themeColor="accent1" w:themeShade="BF"/>
    </w:rPr>
  </w:style>
  <w:style w:type="character" w:styleId="IntenseReference">
    <w:name w:val="Intense Reference"/>
    <w:basedOn w:val="DefaultParagraphFont"/>
    <w:uiPriority w:val="32"/>
    <w:qFormat/>
    <w:rsid w:val="00F279A6"/>
    <w:rPr>
      <w:b/>
      <w:bCs/>
      <w:smallCaps/>
      <w:color w:val="0F4761" w:themeColor="accent1" w:themeShade="BF"/>
      <w:spacing w:val="5"/>
    </w:rPr>
  </w:style>
  <w:style w:type="paragraph" w:styleId="BodyText">
    <w:name w:val="Body Text"/>
    <w:basedOn w:val="Normal"/>
    <w:link w:val="BodyTextChar"/>
    <w:uiPriority w:val="1"/>
    <w:qFormat/>
    <w:rsid w:val="00DD7ECE"/>
    <w:pPr>
      <w:widowControl w:val="0"/>
      <w:autoSpaceDE w:val="0"/>
      <w:autoSpaceDN w:val="0"/>
      <w:spacing w:after="0" w:line="240" w:lineRule="auto"/>
    </w:pPr>
    <w:rPr>
      <w:rFonts w:ascii="Segoe UI" w:eastAsia="Segoe UI" w:hAnsi="Segoe UI" w:cs="Segoe UI"/>
      <w:b/>
      <w:bCs/>
      <w:kern w:val="0"/>
      <w:sz w:val="13"/>
      <w:szCs w:val="13"/>
      <w14:ligatures w14:val="none"/>
    </w:rPr>
  </w:style>
  <w:style w:type="character" w:customStyle="1" w:styleId="BodyTextChar">
    <w:name w:val="Body Text Char"/>
    <w:basedOn w:val="DefaultParagraphFont"/>
    <w:link w:val="BodyText"/>
    <w:uiPriority w:val="1"/>
    <w:rsid w:val="00DD7ECE"/>
    <w:rPr>
      <w:rFonts w:ascii="Segoe UI" w:eastAsia="Segoe UI" w:hAnsi="Segoe UI" w:cs="Segoe UI"/>
      <w:b/>
      <w:bCs/>
      <w:kern w:val="0"/>
      <w:sz w:val="13"/>
      <w:szCs w:val="13"/>
      <w14:ligatures w14:val="none"/>
    </w:rPr>
  </w:style>
  <w:style w:type="paragraph" w:customStyle="1" w:styleId="TableParagraph">
    <w:name w:val="Table Paragraph"/>
    <w:basedOn w:val="Normal"/>
    <w:uiPriority w:val="1"/>
    <w:qFormat/>
    <w:rsid w:val="00DD7ECE"/>
    <w:pPr>
      <w:widowControl w:val="0"/>
      <w:autoSpaceDE w:val="0"/>
      <w:autoSpaceDN w:val="0"/>
      <w:spacing w:before="32" w:after="0" w:line="240" w:lineRule="auto"/>
      <w:jc w:val="right"/>
    </w:pPr>
    <w:rPr>
      <w:rFonts w:ascii="Segoe UI" w:eastAsia="Segoe UI" w:hAnsi="Segoe UI" w:cs="Segoe UI"/>
      <w:kern w:val="0"/>
      <w14:ligatures w14:val="none"/>
    </w:rPr>
  </w:style>
  <w:style w:type="character" w:styleId="Strong">
    <w:name w:val="Strong"/>
    <w:basedOn w:val="DefaultParagraphFont"/>
    <w:uiPriority w:val="22"/>
    <w:qFormat/>
    <w:rsid w:val="002952CC"/>
    <w:rPr>
      <w:b/>
      <w:bCs/>
    </w:rPr>
  </w:style>
  <w:style w:type="table" w:styleId="TableGrid">
    <w:name w:val="Table Grid"/>
    <w:basedOn w:val="TableNormal"/>
    <w:uiPriority w:val="39"/>
    <w:rsid w:val="003E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C7FAC"/>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1C7FAC"/>
    <w:rPr>
      <w:rFonts w:ascii="Aptos" w:hAnsi="Aptos"/>
      <w:noProof/>
      <w:sz w:val="22"/>
      <w:szCs w:val="22"/>
    </w:rPr>
  </w:style>
  <w:style w:type="character" w:styleId="Hyperlink">
    <w:name w:val="Hyperlink"/>
    <w:basedOn w:val="DefaultParagraphFont"/>
    <w:uiPriority w:val="99"/>
    <w:unhideWhenUsed/>
    <w:rsid w:val="001C7F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6947">
      <w:bodyDiv w:val="1"/>
      <w:marLeft w:val="0"/>
      <w:marRight w:val="0"/>
      <w:marTop w:val="0"/>
      <w:marBottom w:val="0"/>
      <w:divBdr>
        <w:top w:val="none" w:sz="0" w:space="0" w:color="auto"/>
        <w:left w:val="none" w:sz="0" w:space="0" w:color="auto"/>
        <w:bottom w:val="none" w:sz="0" w:space="0" w:color="auto"/>
        <w:right w:val="none" w:sz="0" w:space="0" w:color="auto"/>
      </w:divBdr>
    </w:div>
    <w:div w:id="279192783">
      <w:bodyDiv w:val="1"/>
      <w:marLeft w:val="0"/>
      <w:marRight w:val="0"/>
      <w:marTop w:val="0"/>
      <w:marBottom w:val="0"/>
      <w:divBdr>
        <w:top w:val="none" w:sz="0" w:space="0" w:color="auto"/>
        <w:left w:val="none" w:sz="0" w:space="0" w:color="auto"/>
        <w:bottom w:val="none" w:sz="0" w:space="0" w:color="auto"/>
        <w:right w:val="none" w:sz="0" w:space="0" w:color="auto"/>
      </w:divBdr>
    </w:div>
    <w:div w:id="296885064">
      <w:bodyDiv w:val="1"/>
      <w:marLeft w:val="0"/>
      <w:marRight w:val="0"/>
      <w:marTop w:val="0"/>
      <w:marBottom w:val="0"/>
      <w:divBdr>
        <w:top w:val="none" w:sz="0" w:space="0" w:color="auto"/>
        <w:left w:val="none" w:sz="0" w:space="0" w:color="auto"/>
        <w:bottom w:val="none" w:sz="0" w:space="0" w:color="auto"/>
        <w:right w:val="none" w:sz="0" w:space="0" w:color="auto"/>
      </w:divBdr>
    </w:div>
    <w:div w:id="328406641">
      <w:bodyDiv w:val="1"/>
      <w:marLeft w:val="0"/>
      <w:marRight w:val="0"/>
      <w:marTop w:val="0"/>
      <w:marBottom w:val="0"/>
      <w:divBdr>
        <w:top w:val="none" w:sz="0" w:space="0" w:color="auto"/>
        <w:left w:val="none" w:sz="0" w:space="0" w:color="auto"/>
        <w:bottom w:val="none" w:sz="0" w:space="0" w:color="auto"/>
        <w:right w:val="none" w:sz="0" w:space="0" w:color="auto"/>
      </w:divBdr>
    </w:div>
    <w:div w:id="373425929">
      <w:bodyDiv w:val="1"/>
      <w:marLeft w:val="0"/>
      <w:marRight w:val="0"/>
      <w:marTop w:val="0"/>
      <w:marBottom w:val="0"/>
      <w:divBdr>
        <w:top w:val="none" w:sz="0" w:space="0" w:color="auto"/>
        <w:left w:val="none" w:sz="0" w:space="0" w:color="auto"/>
        <w:bottom w:val="none" w:sz="0" w:space="0" w:color="auto"/>
        <w:right w:val="none" w:sz="0" w:space="0" w:color="auto"/>
      </w:divBdr>
    </w:div>
    <w:div w:id="445006885">
      <w:bodyDiv w:val="1"/>
      <w:marLeft w:val="0"/>
      <w:marRight w:val="0"/>
      <w:marTop w:val="0"/>
      <w:marBottom w:val="0"/>
      <w:divBdr>
        <w:top w:val="none" w:sz="0" w:space="0" w:color="auto"/>
        <w:left w:val="none" w:sz="0" w:space="0" w:color="auto"/>
        <w:bottom w:val="none" w:sz="0" w:space="0" w:color="auto"/>
        <w:right w:val="none" w:sz="0" w:space="0" w:color="auto"/>
      </w:divBdr>
    </w:div>
    <w:div w:id="451243961">
      <w:bodyDiv w:val="1"/>
      <w:marLeft w:val="0"/>
      <w:marRight w:val="0"/>
      <w:marTop w:val="0"/>
      <w:marBottom w:val="0"/>
      <w:divBdr>
        <w:top w:val="none" w:sz="0" w:space="0" w:color="auto"/>
        <w:left w:val="none" w:sz="0" w:space="0" w:color="auto"/>
        <w:bottom w:val="none" w:sz="0" w:space="0" w:color="auto"/>
        <w:right w:val="none" w:sz="0" w:space="0" w:color="auto"/>
      </w:divBdr>
    </w:div>
    <w:div w:id="514003830">
      <w:bodyDiv w:val="1"/>
      <w:marLeft w:val="0"/>
      <w:marRight w:val="0"/>
      <w:marTop w:val="0"/>
      <w:marBottom w:val="0"/>
      <w:divBdr>
        <w:top w:val="none" w:sz="0" w:space="0" w:color="auto"/>
        <w:left w:val="none" w:sz="0" w:space="0" w:color="auto"/>
        <w:bottom w:val="none" w:sz="0" w:space="0" w:color="auto"/>
        <w:right w:val="none" w:sz="0" w:space="0" w:color="auto"/>
      </w:divBdr>
    </w:div>
    <w:div w:id="522475146">
      <w:bodyDiv w:val="1"/>
      <w:marLeft w:val="0"/>
      <w:marRight w:val="0"/>
      <w:marTop w:val="0"/>
      <w:marBottom w:val="0"/>
      <w:divBdr>
        <w:top w:val="none" w:sz="0" w:space="0" w:color="auto"/>
        <w:left w:val="none" w:sz="0" w:space="0" w:color="auto"/>
        <w:bottom w:val="none" w:sz="0" w:space="0" w:color="auto"/>
        <w:right w:val="none" w:sz="0" w:space="0" w:color="auto"/>
      </w:divBdr>
    </w:div>
    <w:div w:id="558587909">
      <w:bodyDiv w:val="1"/>
      <w:marLeft w:val="0"/>
      <w:marRight w:val="0"/>
      <w:marTop w:val="0"/>
      <w:marBottom w:val="0"/>
      <w:divBdr>
        <w:top w:val="none" w:sz="0" w:space="0" w:color="auto"/>
        <w:left w:val="none" w:sz="0" w:space="0" w:color="auto"/>
        <w:bottom w:val="none" w:sz="0" w:space="0" w:color="auto"/>
        <w:right w:val="none" w:sz="0" w:space="0" w:color="auto"/>
      </w:divBdr>
    </w:div>
    <w:div w:id="687832141">
      <w:bodyDiv w:val="1"/>
      <w:marLeft w:val="0"/>
      <w:marRight w:val="0"/>
      <w:marTop w:val="0"/>
      <w:marBottom w:val="0"/>
      <w:divBdr>
        <w:top w:val="none" w:sz="0" w:space="0" w:color="auto"/>
        <w:left w:val="none" w:sz="0" w:space="0" w:color="auto"/>
        <w:bottom w:val="none" w:sz="0" w:space="0" w:color="auto"/>
        <w:right w:val="none" w:sz="0" w:space="0" w:color="auto"/>
      </w:divBdr>
    </w:div>
    <w:div w:id="691348313">
      <w:bodyDiv w:val="1"/>
      <w:marLeft w:val="0"/>
      <w:marRight w:val="0"/>
      <w:marTop w:val="0"/>
      <w:marBottom w:val="0"/>
      <w:divBdr>
        <w:top w:val="none" w:sz="0" w:space="0" w:color="auto"/>
        <w:left w:val="none" w:sz="0" w:space="0" w:color="auto"/>
        <w:bottom w:val="none" w:sz="0" w:space="0" w:color="auto"/>
        <w:right w:val="none" w:sz="0" w:space="0" w:color="auto"/>
      </w:divBdr>
    </w:div>
    <w:div w:id="727529790">
      <w:bodyDiv w:val="1"/>
      <w:marLeft w:val="0"/>
      <w:marRight w:val="0"/>
      <w:marTop w:val="0"/>
      <w:marBottom w:val="0"/>
      <w:divBdr>
        <w:top w:val="none" w:sz="0" w:space="0" w:color="auto"/>
        <w:left w:val="none" w:sz="0" w:space="0" w:color="auto"/>
        <w:bottom w:val="none" w:sz="0" w:space="0" w:color="auto"/>
        <w:right w:val="none" w:sz="0" w:space="0" w:color="auto"/>
      </w:divBdr>
    </w:div>
    <w:div w:id="1096099100">
      <w:bodyDiv w:val="1"/>
      <w:marLeft w:val="0"/>
      <w:marRight w:val="0"/>
      <w:marTop w:val="0"/>
      <w:marBottom w:val="0"/>
      <w:divBdr>
        <w:top w:val="none" w:sz="0" w:space="0" w:color="auto"/>
        <w:left w:val="none" w:sz="0" w:space="0" w:color="auto"/>
        <w:bottom w:val="none" w:sz="0" w:space="0" w:color="auto"/>
        <w:right w:val="none" w:sz="0" w:space="0" w:color="auto"/>
      </w:divBdr>
    </w:div>
    <w:div w:id="1148672658">
      <w:bodyDiv w:val="1"/>
      <w:marLeft w:val="0"/>
      <w:marRight w:val="0"/>
      <w:marTop w:val="0"/>
      <w:marBottom w:val="0"/>
      <w:divBdr>
        <w:top w:val="none" w:sz="0" w:space="0" w:color="auto"/>
        <w:left w:val="none" w:sz="0" w:space="0" w:color="auto"/>
        <w:bottom w:val="none" w:sz="0" w:space="0" w:color="auto"/>
        <w:right w:val="none" w:sz="0" w:space="0" w:color="auto"/>
      </w:divBdr>
    </w:div>
    <w:div w:id="1172910165">
      <w:bodyDiv w:val="1"/>
      <w:marLeft w:val="0"/>
      <w:marRight w:val="0"/>
      <w:marTop w:val="0"/>
      <w:marBottom w:val="0"/>
      <w:divBdr>
        <w:top w:val="none" w:sz="0" w:space="0" w:color="auto"/>
        <w:left w:val="none" w:sz="0" w:space="0" w:color="auto"/>
        <w:bottom w:val="none" w:sz="0" w:space="0" w:color="auto"/>
        <w:right w:val="none" w:sz="0" w:space="0" w:color="auto"/>
      </w:divBdr>
    </w:div>
    <w:div w:id="1206213704">
      <w:bodyDiv w:val="1"/>
      <w:marLeft w:val="0"/>
      <w:marRight w:val="0"/>
      <w:marTop w:val="0"/>
      <w:marBottom w:val="0"/>
      <w:divBdr>
        <w:top w:val="none" w:sz="0" w:space="0" w:color="auto"/>
        <w:left w:val="none" w:sz="0" w:space="0" w:color="auto"/>
        <w:bottom w:val="none" w:sz="0" w:space="0" w:color="auto"/>
        <w:right w:val="none" w:sz="0" w:space="0" w:color="auto"/>
      </w:divBdr>
    </w:div>
    <w:div w:id="1286153459">
      <w:bodyDiv w:val="1"/>
      <w:marLeft w:val="0"/>
      <w:marRight w:val="0"/>
      <w:marTop w:val="0"/>
      <w:marBottom w:val="0"/>
      <w:divBdr>
        <w:top w:val="none" w:sz="0" w:space="0" w:color="auto"/>
        <w:left w:val="none" w:sz="0" w:space="0" w:color="auto"/>
        <w:bottom w:val="none" w:sz="0" w:space="0" w:color="auto"/>
        <w:right w:val="none" w:sz="0" w:space="0" w:color="auto"/>
      </w:divBdr>
    </w:div>
    <w:div w:id="1290162617">
      <w:bodyDiv w:val="1"/>
      <w:marLeft w:val="0"/>
      <w:marRight w:val="0"/>
      <w:marTop w:val="0"/>
      <w:marBottom w:val="0"/>
      <w:divBdr>
        <w:top w:val="none" w:sz="0" w:space="0" w:color="auto"/>
        <w:left w:val="none" w:sz="0" w:space="0" w:color="auto"/>
        <w:bottom w:val="none" w:sz="0" w:space="0" w:color="auto"/>
        <w:right w:val="none" w:sz="0" w:space="0" w:color="auto"/>
      </w:divBdr>
    </w:div>
    <w:div w:id="1426002851">
      <w:bodyDiv w:val="1"/>
      <w:marLeft w:val="0"/>
      <w:marRight w:val="0"/>
      <w:marTop w:val="0"/>
      <w:marBottom w:val="0"/>
      <w:divBdr>
        <w:top w:val="none" w:sz="0" w:space="0" w:color="auto"/>
        <w:left w:val="none" w:sz="0" w:space="0" w:color="auto"/>
        <w:bottom w:val="none" w:sz="0" w:space="0" w:color="auto"/>
        <w:right w:val="none" w:sz="0" w:space="0" w:color="auto"/>
      </w:divBdr>
    </w:div>
    <w:div w:id="1467772112">
      <w:bodyDiv w:val="1"/>
      <w:marLeft w:val="0"/>
      <w:marRight w:val="0"/>
      <w:marTop w:val="0"/>
      <w:marBottom w:val="0"/>
      <w:divBdr>
        <w:top w:val="none" w:sz="0" w:space="0" w:color="auto"/>
        <w:left w:val="none" w:sz="0" w:space="0" w:color="auto"/>
        <w:bottom w:val="none" w:sz="0" w:space="0" w:color="auto"/>
        <w:right w:val="none" w:sz="0" w:space="0" w:color="auto"/>
      </w:divBdr>
    </w:div>
    <w:div w:id="1524124590">
      <w:bodyDiv w:val="1"/>
      <w:marLeft w:val="0"/>
      <w:marRight w:val="0"/>
      <w:marTop w:val="0"/>
      <w:marBottom w:val="0"/>
      <w:divBdr>
        <w:top w:val="none" w:sz="0" w:space="0" w:color="auto"/>
        <w:left w:val="none" w:sz="0" w:space="0" w:color="auto"/>
        <w:bottom w:val="none" w:sz="0" w:space="0" w:color="auto"/>
        <w:right w:val="none" w:sz="0" w:space="0" w:color="auto"/>
      </w:divBdr>
    </w:div>
    <w:div w:id="1629043317">
      <w:bodyDiv w:val="1"/>
      <w:marLeft w:val="0"/>
      <w:marRight w:val="0"/>
      <w:marTop w:val="0"/>
      <w:marBottom w:val="0"/>
      <w:divBdr>
        <w:top w:val="none" w:sz="0" w:space="0" w:color="auto"/>
        <w:left w:val="none" w:sz="0" w:space="0" w:color="auto"/>
        <w:bottom w:val="none" w:sz="0" w:space="0" w:color="auto"/>
        <w:right w:val="none" w:sz="0" w:space="0" w:color="auto"/>
      </w:divBdr>
    </w:div>
    <w:div w:id="1916549617">
      <w:bodyDiv w:val="1"/>
      <w:marLeft w:val="0"/>
      <w:marRight w:val="0"/>
      <w:marTop w:val="0"/>
      <w:marBottom w:val="0"/>
      <w:divBdr>
        <w:top w:val="none" w:sz="0" w:space="0" w:color="auto"/>
        <w:left w:val="none" w:sz="0" w:space="0" w:color="auto"/>
        <w:bottom w:val="none" w:sz="0" w:space="0" w:color="auto"/>
        <w:right w:val="none" w:sz="0" w:space="0" w:color="auto"/>
      </w:divBdr>
    </w:div>
    <w:div w:id="20492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topics/computer-science/pearson-correlat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doi.org/10.1037/0033-2909.112.1.155"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2076</Words>
  <Characters>12372</Characters>
  <Application>Microsoft Office Word</Application>
  <DocSecurity>0</DocSecurity>
  <Lines>295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Marcus</dc:creator>
  <cp:keywords/>
  <dc:description/>
  <cp:lastModifiedBy>Taylor, Marcus</cp:lastModifiedBy>
  <cp:revision>2</cp:revision>
  <dcterms:created xsi:type="dcterms:W3CDTF">2024-12-23T17:45:00Z</dcterms:created>
  <dcterms:modified xsi:type="dcterms:W3CDTF">2024-12-23T17:45:00Z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707f4892-f168-4b69-bf80-4421ed9c893e</vt:lpwstr>
  </property>
</Properties>
</file>