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E7B2" w14:textId="77777777" w:rsidR="00456F4F" w:rsidRDefault="00456F4F" w:rsidP="00456F4F">
      <w:pPr>
        <w:pStyle w:val="whitespace-pre-wrap"/>
        <w:spacing w:line="480" w:lineRule="auto"/>
        <w:jc w:val="center"/>
        <w:rPr>
          <w:rStyle w:val="Strong"/>
          <w:rFonts w:eastAsiaTheme="majorEastAsia"/>
        </w:rPr>
      </w:pPr>
    </w:p>
    <w:p w14:paraId="14C01DD0" w14:textId="77777777" w:rsidR="00456F4F" w:rsidRDefault="00456F4F" w:rsidP="00456F4F">
      <w:pPr>
        <w:pStyle w:val="whitespace-pre-wrap"/>
        <w:spacing w:line="480" w:lineRule="auto"/>
        <w:jc w:val="center"/>
        <w:rPr>
          <w:rStyle w:val="Strong"/>
          <w:rFonts w:eastAsiaTheme="majorEastAsia"/>
        </w:rPr>
      </w:pPr>
    </w:p>
    <w:p w14:paraId="4001DD2F" w14:textId="77777777" w:rsidR="00456F4F" w:rsidRDefault="00456F4F" w:rsidP="00456F4F">
      <w:pPr>
        <w:pStyle w:val="whitespace-pre-wrap"/>
        <w:spacing w:line="480" w:lineRule="auto"/>
        <w:jc w:val="center"/>
        <w:rPr>
          <w:rStyle w:val="Strong"/>
          <w:rFonts w:eastAsiaTheme="majorEastAsia"/>
        </w:rPr>
      </w:pPr>
    </w:p>
    <w:p w14:paraId="6B17ADB6" w14:textId="77777777" w:rsidR="00456F4F" w:rsidRDefault="00456F4F" w:rsidP="00456F4F">
      <w:pPr>
        <w:pStyle w:val="whitespace-pre-wrap"/>
        <w:spacing w:line="480" w:lineRule="auto"/>
        <w:jc w:val="center"/>
        <w:rPr>
          <w:rStyle w:val="Strong"/>
          <w:rFonts w:eastAsiaTheme="majorEastAsia"/>
        </w:rPr>
      </w:pPr>
    </w:p>
    <w:p w14:paraId="12E7C726" w14:textId="77777777" w:rsidR="00456F4F" w:rsidRDefault="00456F4F" w:rsidP="00456F4F">
      <w:pPr>
        <w:pStyle w:val="whitespace-pre-wrap"/>
        <w:spacing w:line="480" w:lineRule="auto"/>
        <w:jc w:val="center"/>
        <w:rPr>
          <w:rStyle w:val="Strong"/>
          <w:rFonts w:eastAsiaTheme="majorEastAsia"/>
        </w:rPr>
      </w:pPr>
    </w:p>
    <w:p w14:paraId="2E9BEC4C" w14:textId="77777777" w:rsidR="00456F4F" w:rsidRDefault="00456F4F" w:rsidP="00456F4F">
      <w:pPr>
        <w:pStyle w:val="whitespace-pre-wrap"/>
        <w:spacing w:before="120" w:beforeAutospacing="0" w:after="120" w:afterAutospacing="0" w:line="480" w:lineRule="auto"/>
        <w:jc w:val="center"/>
        <w:rPr>
          <w:rStyle w:val="Strong"/>
          <w:rFonts w:eastAsiaTheme="majorEastAsia"/>
        </w:rPr>
      </w:pPr>
      <w:bookmarkStart w:id="0" w:name="_Hlk185845804"/>
      <w:r>
        <w:rPr>
          <w:rStyle w:val="Strong"/>
          <w:rFonts w:eastAsiaTheme="majorEastAsia"/>
        </w:rPr>
        <w:t>Cognitive Load Theory:</w:t>
      </w:r>
    </w:p>
    <w:p w14:paraId="3460201D" w14:textId="27EF9E62" w:rsidR="00456F4F" w:rsidRDefault="00456F4F" w:rsidP="00456F4F">
      <w:pPr>
        <w:pStyle w:val="whitespace-pre-wrap"/>
        <w:spacing w:before="120" w:beforeAutospacing="0" w:after="120" w:afterAutospacing="0" w:line="480" w:lineRule="auto"/>
        <w:jc w:val="center"/>
        <w:rPr>
          <w:rStyle w:val="Strong"/>
          <w:rFonts w:eastAsiaTheme="majorEastAsia"/>
        </w:rPr>
      </w:pPr>
      <w:r>
        <w:rPr>
          <w:rStyle w:val="Strong"/>
          <w:rFonts w:eastAsiaTheme="majorEastAsia"/>
        </w:rPr>
        <w:t xml:space="preserve"> An Integrative Literature Review of Theoretical Foundations, Empirical Research, and Practical Applications</w:t>
      </w:r>
    </w:p>
    <w:p w14:paraId="077B4335" w14:textId="77777777" w:rsidR="00456F4F" w:rsidRPr="00456F4F" w:rsidRDefault="00456F4F" w:rsidP="00456F4F">
      <w:pPr>
        <w:pStyle w:val="whitespace-pre-wrap"/>
        <w:jc w:val="center"/>
        <w:rPr>
          <w:rFonts w:eastAsiaTheme="majorEastAsia"/>
        </w:rPr>
      </w:pPr>
      <w:r w:rsidRPr="00456F4F">
        <w:rPr>
          <w:rFonts w:eastAsiaTheme="majorEastAsia"/>
        </w:rPr>
        <w:t>Learning Technologies Department, University of North Texas</w:t>
      </w:r>
    </w:p>
    <w:p w14:paraId="454C6792" w14:textId="082466D5" w:rsidR="00456F4F" w:rsidRDefault="00456F4F" w:rsidP="00456F4F">
      <w:pPr>
        <w:pStyle w:val="whitespace-pre-wrap"/>
        <w:jc w:val="center"/>
        <w:rPr>
          <w:rFonts w:eastAsiaTheme="majorEastAsia"/>
        </w:rPr>
      </w:pPr>
      <w:r w:rsidRPr="00456F4F">
        <w:rPr>
          <w:rFonts w:eastAsiaTheme="majorEastAsia"/>
        </w:rPr>
        <w:t>LTEC 6200: Message Design in Learning Technologies</w:t>
      </w:r>
    </w:p>
    <w:p w14:paraId="5CC0E350" w14:textId="7546181D" w:rsidR="00456F4F" w:rsidRPr="00456F4F" w:rsidRDefault="00456F4F" w:rsidP="00456F4F">
      <w:pPr>
        <w:pStyle w:val="whitespace-pre-wrap"/>
        <w:jc w:val="center"/>
        <w:rPr>
          <w:rFonts w:eastAsiaTheme="majorEastAsia"/>
        </w:rPr>
      </w:pPr>
      <w:r w:rsidRPr="00456F4F">
        <w:rPr>
          <w:rFonts w:eastAsiaTheme="majorEastAsia"/>
        </w:rPr>
        <w:t xml:space="preserve">Dr. </w:t>
      </w:r>
      <w:r>
        <w:rPr>
          <w:rFonts w:eastAsiaTheme="majorEastAsia"/>
        </w:rPr>
        <w:t>Yunjo An</w:t>
      </w:r>
    </w:p>
    <w:p w14:paraId="56AC793C" w14:textId="63974681" w:rsidR="00456F4F" w:rsidRDefault="00456F4F" w:rsidP="00456F4F">
      <w:pPr>
        <w:pStyle w:val="whitespace-pre-wrap"/>
        <w:spacing w:line="480" w:lineRule="auto"/>
        <w:jc w:val="center"/>
      </w:pPr>
      <w:r>
        <w:t>July 19, 2024</w:t>
      </w:r>
    </w:p>
    <w:bookmarkEnd w:id="0"/>
    <w:p w14:paraId="03F7CBCB" w14:textId="77777777" w:rsidR="00456F4F" w:rsidRDefault="00456F4F">
      <w:pPr>
        <w:rPr>
          <w:rStyle w:val="Strong"/>
          <w:rFonts w:eastAsiaTheme="majorEastAsia" w:cs="Times New Roman"/>
          <w:kern w:val="0"/>
          <w14:ligatures w14:val="none"/>
        </w:rPr>
      </w:pPr>
      <w:r>
        <w:rPr>
          <w:rStyle w:val="Strong"/>
          <w:rFonts w:eastAsiaTheme="majorEastAsia"/>
        </w:rPr>
        <w:br w:type="page"/>
      </w:r>
    </w:p>
    <w:p w14:paraId="66BCB945" w14:textId="7B6244D6" w:rsidR="00456F4F" w:rsidRDefault="00456F4F" w:rsidP="00456F4F">
      <w:pPr>
        <w:pStyle w:val="whitespace-pre-wrap"/>
        <w:spacing w:line="480" w:lineRule="auto"/>
        <w:jc w:val="center"/>
      </w:pPr>
      <w:r>
        <w:rPr>
          <w:rStyle w:val="Strong"/>
          <w:rFonts w:eastAsiaTheme="majorEastAsia"/>
        </w:rPr>
        <w:lastRenderedPageBreak/>
        <w:t>Abstract</w:t>
      </w:r>
    </w:p>
    <w:p w14:paraId="711C89DE" w14:textId="77777777" w:rsidR="00456F4F" w:rsidRDefault="00456F4F" w:rsidP="00456F4F">
      <w:pPr>
        <w:pStyle w:val="whitespace-pre-wrap"/>
        <w:spacing w:line="480" w:lineRule="auto"/>
      </w:pPr>
      <w:r>
        <w:t>Cognitive Load Theory (CLT) has emerged as a pivotal framework in understanding and enhancing learning processes. This literature review synthesizes the theoretical foundations, empirical studies, and practical applications of CLT, covering research from the past two decades. Findings indicate that CLT significantly influences instructional strategies, promoting effective learning by managing intrinsic, extraneous, and germane cognitive loads. The review concludes with recommendations for educators and instructional designers on applying CLT principles and suggests future research directions.</w:t>
      </w:r>
    </w:p>
    <w:p w14:paraId="6EE208E0" w14:textId="7993C24D" w:rsidR="00456F4F" w:rsidRDefault="00456F4F" w:rsidP="00456F4F">
      <w:pPr>
        <w:pStyle w:val="whitespace-pre-wrap"/>
        <w:spacing w:line="480" w:lineRule="auto"/>
        <w:jc w:val="center"/>
      </w:pPr>
      <w:r>
        <w:rPr>
          <w:rStyle w:val="Strong"/>
          <w:rFonts w:eastAsiaTheme="majorEastAsia"/>
        </w:rPr>
        <w:t>Introduction</w:t>
      </w:r>
    </w:p>
    <w:p w14:paraId="707B63B2" w14:textId="77777777" w:rsidR="00456F4F" w:rsidRDefault="00456F4F" w:rsidP="00456F4F">
      <w:pPr>
        <w:pStyle w:val="whitespace-pre-wrap"/>
        <w:spacing w:line="480" w:lineRule="auto"/>
      </w:pPr>
      <w:r>
        <w:t xml:space="preserve">Cognitive Load Theory (CLT), developed by John </w:t>
      </w:r>
      <w:proofErr w:type="spellStart"/>
      <w:r>
        <w:t>Sweller</w:t>
      </w:r>
      <w:proofErr w:type="spellEnd"/>
      <w:r>
        <w:t xml:space="preserve"> in the late 1980s, emphasizes the limitations of working memory and how instructional design can mitigate cognitive overload. Over the past three decades, CLT has become foundational in educational psychology, informing instructional design and educational practices across various disciplines.</w:t>
      </w:r>
    </w:p>
    <w:p w14:paraId="48AC9A46" w14:textId="77777777" w:rsidR="00456F4F" w:rsidRDefault="00456F4F" w:rsidP="00456F4F">
      <w:pPr>
        <w:pStyle w:val="whitespace-pre-wrap"/>
        <w:spacing w:line="480" w:lineRule="auto"/>
      </w:pPr>
      <w:r>
        <w:t>This review consolidates existing research on CLT, highlighting its theoretical foundations, empirical validations, practical applications, and areas for future research. It encompasses studies published in the last two decades, focusing on peer-reviewed articles, books, and seminal papers.</w:t>
      </w:r>
    </w:p>
    <w:p w14:paraId="20A75DF3" w14:textId="3491F005" w:rsidR="00456F4F" w:rsidRDefault="00456F4F" w:rsidP="00456F4F">
      <w:pPr>
        <w:pStyle w:val="whitespace-pre-wrap"/>
        <w:spacing w:line="480" w:lineRule="auto"/>
        <w:jc w:val="center"/>
      </w:pPr>
      <w:r>
        <w:rPr>
          <w:rStyle w:val="Strong"/>
          <w:rFonts w:eastAsiaTheme="majorEastAsia"/>
        </w:rPr>
        <w:t>Theoretical Foundations of Cognitive Load Theory</w:t>
      </w:r>
    </w:p>
    <w:p w14:paraId="4FCC0A0B" w14:textId="77777777" w:rsidR="00456F4F" w:rsidRDefault="00456F4F" w:rsidP="00456F4F">
      <w:pPr>
        <w:pStyle w:val="whitespace-pre-wrap"/>
        <w:spacing w:line="480" w:lineRule="auto"/>
      </w:pPr>
      <w:r>
        <w:rPr>
          <w:rStyle w:val="Strong"/>
          <w:rFonts w:eastAsiaTheme="majorEastAsia"/>
        </w:rPr>
        <w:t>Historical Development</w:t>
      </w:r>
    </w:p>
    <w:p w14:paraId="61AA2EDF" w14:textId="77777777" w:rsidR="00456F4F" w:rsidRDefault="00456F4F" w:rsidP="00456F4F">
      <w:pPr>
        <w:pStyle w:val="whitespace-pre-wrap"/>
        <w:spacing w:line="480" w:lineRule="auto"/>
      </w:pPr>
      <w:r>
        <w:t xml:space="preserve">CLT was introduced by John </w:t>
      </w:r>
      <w:proofErr w:type="spellStart"/>
      <w:r>
        <w:t>Sweller</w:t>
      </w:r>
      <w:proofErr w:type="spellEnd"/>
      <w:r>
        <w:t xml:space="preserve"> to address issues in problem-solving and learning. </w:t>
      </w:r>
      <w:proofErr w:type="spellStart"/>
      <w:r>
        <w:t>Sweller</w:t>
      </w:r>
      <w:proofErr w:type="spellEnd"/>
      <w:r>
        <w:t xml:space="preserve"> (2023) identified that traditional problem-solving activities could overload working memory and </w:t>
      </w:r>
      <w:r>
        <w:lastRenderedPageBreak/>
        <w:t xml:space="preserve">hinder learning. Key figures such as </w:t>
      </w:r>
      <w:proofErr w:type="spellStart"/>
      <w:r>
        <w:t>Sweller</w:t>
      </w:r>
      <w:proofErr w:type="spellEnd"/>
      <w:r>
        <w:t xml:space="preserve">, Chandler, and </w:t>
      </w:r>
      <w:proofErr w:type="spellStart"/>
      <w:r>
        <w:t>Paas</w:t>
      </w:r>
      <w:proofErr w:type="spellEnd"/>
      <w:r>
        <w:t xml:space="preserve"> have significantly contributed to the development and expansion of CLT (</w:t>
      </w:r>
      <w:proofErr w:type="spellStart"/>
      <w:r>
        <w:t>Sweller</w:t>
      </w:r>
      <w:proofErr w:type="spellEnd"/>
      <w:r>
        <w:t xml:space="preserve">, 2023; </w:t>
      </w:r>
      <w:proofErr w:type="spellStart"/>
      <w:r>
        <w:t>Paas</w:t>
      </w:r>
      <w:proofErr w:type="spellEnd"/>
      <w:r>
        <w:t xml:space="preserve"> &amp; </w:t>
      </w:r>
      <w:proofErr w:type="spellStart"/>
      <w:r>
        <w:t>Sweller</w:t>
      </w:r>
      <w:proofErr w:type="spellEnd"/>
      <w:r>
        <w:t>, 2021).</w:t>
      </w:r>
    </w:p>
    <w:p w14:paraId="58D509E9" w14:textId="77777777" w:rsidR="00456F4F" w:rsidRDefault="00456F4F" w:rsidP="00456F4F">
      <w:pPr>
        <w:pStyle w:val="whitespace-pre-wrap"/>
        <w:spacing w:line="480" w:lineRule="auto"/>
      </w:pPr>
      <w:r>
        <w:rPr>
          <w:rStyle w:val="Strong"/>
          <w:rFonts w:eastAsiaTheme="majorEastAsia"/>
        </w:rPr>
        <w:t>Core Concepts</w:t>
      </w:r>
    </w:p>
    <w:p w14:paraId="7FEA14DE" w14:textId="77777777" w:rsidR="00456F4F" w:rsidRDefault="00456F4F" w:rsidP="00456F4F">
      <w:pPr>
        <w:pStyle w:val="whitespace-pre-wrap"/>
        <w:spacing w:line="480" w:lineRule="auto"/>
      </w:pPr>
      <w:r>
        <w:t>CLT categorizes cognitive load into three types:</w:t>
      </w:r>
    </w:p>
    <w:p w14:paraId="522F980F" w14:textId="77777777" w:rsidR="00456F4F" w:rsidRDefault="00456F4F" w:rsidP="00456F4F">
      <w:pPr>
        <w:pStyle w:val="whitespace-normal"/>
        <w:numPr>
          <w:ilvl w:val="0"/>
          <w:numId w:val="1"/>
        </w:numPr>
        <w:spacing w:line="480" w:lineRule="auto"/>
      </w:pPr>
      <w:r>
        <w:rPr>
          <w:rStyle w:val="Strong"/>
          <w:rFonts w:eastAsiaTheme="majorEastAsia"/>
        </w:rPr>
        <w:t>Intrinsic Load</w:t>
      </w:r>
      <w:r>
        <w:t>: Related to the inherent complexity of the content being learned (</w:t>
      </w:r>
      <w:proofErr w:type="spellStart"/>
      <w:r>
        <w:t>Sweller</w:t>
      </w:r>
      <w:proofErr w:type="spellEnd"/>
      <w:r>
        <w:t>, 2024a).</w:t>
      </w:r>
    </w:p>
    <w:p w14:paraId="06E96AC5" w14:textId="77777777" w:rsidR="00456F4F" w:rsidRDefault="00456F4F" w:rsidP="00456F4F">
      <w:pPr>
        <w:pStyle w:val="whitespace-normal"/>
        <w:numPr>
          <w:ilvl w:val="0"/>
          <w:numId w:val="1"/>
        </w:numPr>
        <w:spacing w:line="480" w:lineRule="auto"/>
      </w:pPr>
      <w:r>
        <w:rPr>
          <w:rStyle w:val="Strong"/>
          <w:rFonts w:eastAsiaTheme="majorEastAsia"/>
        </w:rPr>
        <w:t>Extraneous Load</w:t>
      </w:r>
      <w:r>
        <w:t>: Associated with the way information is presented to learners (</w:t>
      </w:r>
      <w:proofErr w:type="spellStart"/>
      <w:r>
        <w:t>Sweller</w:t>
      </w:r>
      <w:proofErr w:type="spellEnd"/>
      <w:r>
        <w:t>, 2024a; Taylor et al., 2022).</w:t>
      </w:r>
    </w:p>
    <w:p w14:paraId="43B1A995" w14:textId="77777777" w:rsidR="00456F4F" w:rsidRDefault="00456F4F" w:rsidP="00456F4F">
      <w:pPr>
        <w:pStyle w:val="whitespace-normal"/>
        <w:numPr>
          <w:ilvl w:val="0"/>
          <w:numId w:val="1"/>
        </w:numPr>
        <w:spacing w:line="480" w:lineRule="auto"/>
      </w:pPr>
      <w:r>
        <w:rPr>
          <w:rStyle w:val="Strong"/>
          <w:rFonts w:eastAsiaTheme="majorEastAsia"/>
        </w:rPr>
        <w:t>Germane Load</w:t>
      </w:r>
      <w:r>
        <w:t>: Involves the mental effort used to process information and construct schemas (</w:t>
      </w:r>
      <w:proofErr w:type="spellStart"/>
      <w:r>
        <w:t>Sweller</w:t>
      </w:r>
      <w:proofErr w:type="spellEnd"/>
      <w:r>
        <w:t>, 2024a).</w:t>
      </w:r>
    </w:p>
    <w:p w14:paraId="11C3A4CE" w14:textId="77777777" w:rsidR="00456F4F" w:rsidRDefault="00456F4F" w:rsidP="00456F4F">
      <w:pPr>
        <w:pStyle w:val="whitespace-pre-wrap"/>
        <w:spacing w:line="480" w:lineRule="auto"/>
      </w:pPr>
      <w:r>
        <w:rPr>
          <w:rStyle w:val="Strong"/>
          <w:rFonts w:eastAsiaTheme="majorEastAsia"/>
        </w:rPr>
        <w:t>Related Theories</w:t>
      </w:r>
    </w:p>
    <w:p w14:paraId="199626FD" w14:textId="6AA60308" w:rsidR="00456F4F" w:rsidRDefault="00456F4F" w:rsidP="00456F4F">
      <w:pPr>
        <w:pStyle w:val="whitespace-pre-wrap"/>
        <w:spacing w:line="480" w:lineRule="auto"/>
      </w:pPr>
      <w:r>
        <w:t>CLT is closely related to Working Memory Theory (Baddeley &amp; Hitch, 1994) and Information Processing Theory, which provides a broader context for understanding cognitive functions.</w:t>
      </w:r>
    </w:p>
    <w:p w14:paraId="30627B92" w14:textId="397F964D" w:rsidR="00456F4F" w:rsidRDefault="00456F4F" w:rsidP="00456F4F">
      <w:pPr>
        <w:pStyle w:val="whitespace-pre-wrap"/>
        <w:spacing w:line="480" w:lineRule="auto"/>
      </w:pPr>
      <w:r>
        <w:rPr>
          <w:rStyle w:val="Strong"/>
          <w:rFonts w:eastAsiaTheme="majorEastAsia"/>
        </w:rPr>
        <w:t>Empirical Studies on Cognitive Load Theory</w:t>
      </w:r>
    </w:p>
    <w:p w14:paraId="4D2B6AB4" w14:textId="77777777" w:rsidR="00456F4F" w:rsidRDefault="00456F4F" w:rsidP="00456F4F">
      <w:pPr>
        <w:pStyle w:val="whitespace-pre-wrap"/>
        <w:spacing w:line="480" w:lineRule="auto"/>
      </w:pPr>
      <w:r>
        <w:t xml:space="preserve">Key studies have validated CLT through controlled experiments, demonstrating how managing cognitive load can enhance learning outcomes. </w:t>
      </w:r>
      <w:proofErr w:type="spellStart"/>
      <w:r>
        <w:t>Sweller</w:t>
      </w:r>
      <w:proofErr w:type="spellEnd"/>
      <w:r>
        <w:t xml:space="preserve"> and Chandler's (1991) studies on worked examples have shown significant benefits in reducing extraneous load. Hanham, Castro‐Alonso, and Chen (2023) highlight the effectiveness of worked examples in various educational contexts.</w:t>
      </w:r>
    </w:p>
    <w:p w14:paraId="15A94CFE" w14:textId="505774BF" w:rsidR="00456F4F" w:rsidRDefault="00456F4F" w:rsidP="00456F4F">
      <w:pPr>
        <w:pStyle w:val="whitespace-pre-wrap"/>
        <w:spacing w:line="480" w:lineRule="auto"/>
      </w:pPr>
      <w:r>
        <w:rPr>
          <w:rStyle w:val="Strong"/>
          <w:rFonts w:eastAsiaTheme="majorEastAsia"/>
        </w:rPr>
        <w:t xml:space="preserve"> Application in Different Contexts</w:t>
      </w:r>
    </w:p>
    <w:p w14:paraId="1AFB5855" w14:textId="77777777" w:rsidR="00456F4F" w:rsidRDefault="00456F4F" w:rsidP="00456F4F">
      <w:pPr>
        <w:pStyle w:val="whitespace-pre-wrap"/>
        <w:spacing w:line="480" w:lineRule="auto"/>
      </w:pPr>
      <w:r>
        <w:rPr>
          <w:rStyle w:val="Strong"/>
          <w:rFonts w:eastAsiaTheme="majorEastAsia"/>
        </w:rPr>
        <w:lastRenderedPageBreak/>
        <w:t>Medical Education</w:t>
      </w:r>
    </w:p>
    <w:p w14:paraId="3778873A" w14:textId="77777777" w:rsidR="00456F4F" w:rsidRDefault="00456F4F" w:rsidP="00456F4F">
      <w:pPr>
        <w:pStyle w:val="whitespace-pre-wrap"/>
        <w:spacing w:line="480" w:lineRule="auto"/>
      </w:pPr>
      <w:r>
        <w:t xml:space="preserve">Young, Van </w:t>
      </w:r>
      <w:proofErr w:type="spellStart"/>
      <w:r>
        <w:t>Merrienboer</w:t>
      </w:r>
      <w:proofErr w:type="spellEnd"/>
      <w:r>
        <w:t>, Durning, and Ten Cate (2014a) discuss how CLT principles have been applied to create more effective instructional designs in medical education, such as using worked examples and segmenting complex information.</w:t>
      </w:r>
    </w:p>
    <w:p w14:paraId="25E88773" w14:textId="77777777" w:rsidR="00456F4F" w:rsidRDefault="00456F4F" w:rsidP="00456F4F">
      <w:pPr>
        <w:pStyle w:val="whitespace-pre-wrap"/>
        <w:spacing w:line="480" w:lineRule="auto"/>
      </w:pPr>
      <w:r>
        <w:rPr>
          <w:rStyle w:val="Strong"/>
          <w:rFonts w:eastAsiaTheme="majorEastAsia"/>
        </w:rPr>
        <w:t>Nursing Education</w:t>
      </w:r>
    </w:p>
    <w:p w14:paraId="64A11646" w14:textId="77777777" w:rsidR="00456F4F" w:rsidRDefault="00456F4F" w:rsidP="00456F4F">
      <w:pPr>
        <w:pStyle w:val="whitespace-pre-wrap"/>
        <w:spacing w:line="480" w:lineRule="auto"/>
      </w:pPr>
      <w:r>
        <w:t>Chen (2014) explores the application of CLT in nursing education, particularly in multimedia and simulation-based learning environments.</w:t>
      </w:r>
    </w:p>
    <w:p w14:paraId="12E070EC" w14:textId="77777777" w:rsidR="00456F4F" w:rsidRDefault="00456F4F" w:rsidP="00456F4F">
      <w:pPr>
        <w:pStyle w:val="whitespace-pre-wrap"/>
        <w:spacing w:line="480" w:lineRule="auto"/>
      </w:pPr>
      <w:r>
        <w:rPr>
          <w:rStyle w:val="Strong"/>
          <w:rFonts w:eastAsiaTheme="majorEastAsia"/>
        </w:rPr>
        <w:t>K-12 Education</w:t>
      </w:r>
    </w:p>
    <w:p w14:paraId="4758BA04" w14:textId="77777777" w:rsidR="00456F4F" w:rsidRDefault="00456F4F" w:rsidP="00456F4F">
      <w:pPr>
        <w:pStyle w:val="whitespace-pre-wrap"/>
        <w:spacing w:line="480" w:lineRule="auto"/>
      </w:pPr>
      <w:r>
        <w:t>Research shows that segmenting information, using visual aids, and incorporating interactive elements can significantly reduce cognitive load and improve students' understanding in K-12 education (Clark &amp; Kimmons, 2023).</w:t>
      </w:r>
    </w:p>
    <w:p w14:paraId="31E512B5" w14:textId="77777777" w:rsidR="00456F4F" w:rsidRDefault="00456F4F" w:rsidP="00456F4F">
      <w:pPr>
        <w:pStyle w:val="whitespace-pre-wrap"/>
        <w:spacing w:line="480" w:lineRule="auto"/>
      </w:pPr>
      <w:r>
        <w:rPr>
          <w:rStyle w:val="Strong"/>
          <w:rFonts w:eastAsiaTheme="majorEastAsia"/>
        </w:rPr>
        <w:t>Higher Education and Professional Training</w:t>
      </w:r>
    </w:p>
    <w:p w14:paraId="3C0B68C5" w14:textId="77777777" w:rsidR="00456F4F" w:rsidRDefault="00456F4F" w:rsidP="00456F4F">
      <w:pPr>
        <w:pStyle w:val="whitespace-pre-wrap"/>
        <w:spacing w:line="480" w:lineRule="auto"/>
      </w:pPr>
      <w:r>
        <w:t>CLT has been used to design courses that facilitate deeper learning and skill acquisition in higher education and professional training (Hanham et al., 2023).</w:t>
      </w:r>
    </w:p>
    <w:p w14:paraId="1CBF1E31" w14:textId="643F6361" w:rsidR="00456F4F" w:rsidRDefault="00456F4F" w:rsidP="00456F4F">
      <w:pPr>
        <w:pStyle w:val="whitespace-pre-wrap"/>
        <w:spacing w:line="480" w:lineRule="auto"/>
        <w:jc w:val="center"/>
      </w:pPr>
      <w:r>
        <w:rPr>
          <w:rStyle w:val="Strong"/>
          <w:rFonts w:eastAsiaTheme="majorEastAsia"/>
        </w:rPr>
        <w:t>Impact on Instructional Design</w:t>
      </w:r>
    </w:p>
    <w:p w14:paraId="6AF6025C" w14:textId="77777777" w:rsidR="00456F4F" w:rsidRDefault="00456F4F" w:rsidP="00456F4F">
      <w:pPr>
        <w:pStyle w:val="whitespace-pre-wrap"/>
        <w:spacing w:line="480" w:lineRule="auto"/>
      </w:pPr>
      <w:r>
        <w:rPr>
          <w:rStyle w:val="Strong"/>
          <w:rFonts w:eastAsiaTheme="majorEastAsia"/>
        </w:rPr>
        <w:t>Segmenting Information</w:t>
      </w:r>
    </w:p>
    <w:p w14:paraId="7AC564FA" w14:textId="77777777" w:rsidR="00456F4F" w:rsidRDefault="00456F4F" w:rsidP="00456F4F">
      <w:pPr>
        <w:pStyle w:val="whitespace-pre-wrap"/>
        <w:spacing w:line="480" w:lineRule="auto"/>
      </w:pPr>
      <w:r>
        <w:t>Segmenting involves breaking down complex information into smaller, more manageable units, helping reduce intrinsic load (Clark &amp; Kimmons, 2023).</w:t>
      </w:r>
    </w:p>
    <w:p w14:paraId="01BFB7D8" w14:textId="77777777" w:rsidR="00456F4F" w:rsidRDefault="00456F4F" w:rsidP="00456F4F">
      <w:pPr>
        <w:pStyle w:val="whitespace-pre-wrap"/>
        <w:spacing w:line="480" w:lineRule="auto"/>
      </w:pPr>
      <w:r>
        <w:rPr>
          <w:rStyle w:val="Strong"/>
          <w:rFonts w:eastAsiaTheme="majorEastAsia"/>
        </w:rPr>
        <w:lastRenderedPageBreak/>
        <w:t>Worked Examples</w:t>
      </w:r>
    </w:p>
    <w:p w14:paraId="32FC9809" w14:textId="77777777" w:rsidR="00456F4F" w:rsidRDefault="00456F4F" w:rsidP="00456F4F">
      <w:pPr>
        <w:pStyle w:val="whitespace-pre-wrap"/>
        <w:spacing w:line="480" w:lineRule="auto"/>
      </w:pPr>
      <w:r>
        <w:t>Worked examples provide learners with detailed steps for solving a problem, reducing the cognitive load associated with problem-solving (</w:t>
      </w:r>
      <w:proofErr w:type="spellStart"/>
      <w:r>
        <w:t>Paas</w:t>
      </w:r>
      <w:proofErr w:type="spellEnd"/>
      <w:r>
        <w:t xml:space="preserve"> &amp; </w:t>
      </w:r>
      <w:proofErr w:type="spellStart"/>
      <w:r>
        <w:t>Sweller</w:t>
      </w:r>
      <w:proofErr w:type="spellEnd"/>
      <w:r>
        <w:t>, 2021).</w:t>
      </w:r>
    </w:p>
    <w:p w14:paraId="1F615E73" w14:textId="77777777" w:rsidR="00456F4F" w:rsidRDefault="00456F4F" w:rsidP="00456F4F">
      <w:pPr>
        <w:pStyle w:val="whitespace-pre-wrap"/>
        <w:spacing w:line="480" w:lineRule="auto"/>
      </w:pPr>
      <w:r>
        <w:rPr>
          <w:rStyle w:val="Strong"/>
          <w:rFonts w:eastAsiaTheme="majorEastAsia"/>
        </w:rPr>
        <w:t>Reducing Extraneous Load</w:t>
      </w:r>
    </w:p>
    <w:p w14:paraId="75712FB3" w14:textId="77777777" w:rsidR="00456F4F" w:rsidRDefault="00456F4F" w:rsidP="00456F4F">
      <w:pPr>
        <w:pStyle w:val="whitespace-pre-wrap"/>
        <w:spacing w:line="480" w:lineRule="auto"/>
      </w:pPr>
      <w:r>
        <w:t>Techniques such as using clear language, minimizing irrelevant information, and providing supportive visual aids can help reduce extraneous load (</w:t>
      </w:r>
      <w:proofErr w:type="spellStart"/>
      <w:r>
        <w:t>Sweller</w:t>
      </w:r>
      <w:proofErr w:type="spellEnd"/>
      <w:r>
        <w:t>, 2024a).</w:t>
      </w:r>
    </w:p>
    <w:p w14:paraId="123FE2A3" w14:textId="77777777" w:rsidR="00456F4F" w:rsidRDefault="00456F4F" w:rsidP="00456F4F">
      <w:pPr>
        <w:pStyle w:val="whitespace-pre-wrap"/>
        <w:spacing w:line="480" w:lineRule="auto"/>
      </w:pPr>
      <w:r>
        <w:rPr>
          <w:rStyle w:val="Strong"/>
          <w:rFonts w:eastAsiaTheme="majorEastAsia"/>
        </w:rPr>
        <w:t>Fostering Germane Load</w:t>
      </w:r>
    </w:p>
    <w:p w14:paraId="37E63D64" w14:textId="77777777" w:rsidR="00456F4F" w:rsidRDefault="00456F4F" w:rsidP="00456F4F">
      <w:pPr>
        <w:pStyle w:val="whitespace-pre-wrap"/>
        <w:spacing w:line="480" w:lineRule="auto"/>
      </w:pPr>
      <w:r>
        <w:t>Fostering germane load involves designing activities that promote the construction and automation of schemas (</w:t>
      </w:r>
      <w:proofErr w:type="spellStart"/>
      <w:r>
        <w:t>Kalyuga</w:t>
      </w:r>
      <w:proofErr w:type="spellEnd"/>
      <w:r>
        <w:t>, 2011).</w:t>
      </w:r>
    </w:p>
    <w:p w14:paraId="16CDE552" w14:textId="72264CC1" w:rsidR="00456F4F" w:rsidRDefault="00456F4F" w:rsidP="00456F4F">
      <w:pPr>
        <w:pStyle w:val="whitespace-pre-wrap"/>
        <w:spacing w:line="480" w:lineRule="auto"/>
        <w:jc w:val="center"/>
      </w:pPr>
      <w:r>
        <w:rPr>
          <w:rStyle w:val="Strong"/>
          <w:rFonts w:eastAsiaTheme="majorEastAsia"/>
        </w:rPr>
        <w:t>Critical Analysis</w:t>
      </w:r>
    </w:p>
    <w:p w14:paraId="73E332E8" w14:textId="77777777" w:rsidR="00456F4F" w:rsidRDefault="00456F4F" w:rsidP="00456F4F">
      <w:pPr>
        <w:pStyle w:val="whitespace-pre-wrap"/>
        <w:spacing w:line="480" w:lineRule="auto"/>
      </w:pPr>
      <w:r>
        <w:rPr>
          <w:rStyle w:val="Strong"/>
          <w:rFonts w:eastAsiaTheme="majorEastAsia"/>
        </w:rPr>
        <w:t>Strengths of CLT</w:t>
      </w:r>
    </w:p>
    <w:p w14:paraId="6E24F05B" w14:textId="1161281E" w:rsidR="00456F4F" w:rsidRDefault="00456F4F" w:rsidP="00456F4F">
      <w:pPr>
        <w:pStyle w:val="whitespace-pre-wrap"/>
        <w:spacing w:line="480" w:lineRule="auto"/>
      </w:pPr>
      <w:r>
        <w:t>CLT provides a robust framework for designing effective instructional materials. Its emphasis on cognitive architecture aligns well with empirical findings on learning processes (</w:t>
      </w:r>
      <w:proofErr w:type="spellStart"/>
      <w:r>
        <w:t>Kalyuga</w:t>
      </w:r>
      <w:proofErr w:type="spellEnd"/>
      <w:r>
        <w:t>, 2011).</w:t>
      </w:r>
    </w:p>
    <w:p w14:paraId="1A25B97D" w14:textId="77777777" w:rsidR="00456F4F" w:rsidRDefault="00456F4F" w:rsidP="00456F4F">
      <w:pPr>
        <w:pStyle w:val="whitespace-pre-wrap"/>
        <w:spacing w:line="480" w:lineRule="auto"/>
      </w:pPr>
      <w:r>
        <w:rPr>
          <w:rStyle w:val="Strong"/>
          <w:rFonts w:eastAsiaTheme="majorEastAsia"/>
        </w:rPr>
        <w:t>Criticisms and Limitations</w:t>
      </w:r>
    </w:p>
    <w:p w14:paraId="3449AF93" w14:textId="77777777" w:rsidR="00456F4F" w:rsidRDefault="00456F4F" w:rsidP="00456F4F">
      <w:pPr>
        <w:pStyle w:val="whitespace-pre-wrap"/>
        <w:spacing w:line="480" w:lineRule="auto"/>
      </w:pPr>
      <w:r>
        <w:t>Some criticisms include limited applicability across all learning environments and the challenge of quantifying cognitive load precisely. Moos and Pitton (2014) highlight challenges faced by pre-service teachers in managing cognitive load. Leppink and Van Den Heuvel (2015) address misconceptions in CLT applications and present a holistic model for medical education design.</w:t>
      </w:r>
    </w:p>
    <w:p w14:paraId="09E178F7" w14:textId="6F98874B" w:rsidR="00456F4F" w:rsidRDefault="00456F4F" w:rsidP="00456F4F">
      <w:pPr>
        <w:pStyle w:val="whitespace-pre-wrap"/>
        <w:spacing w:line="480" w:lineRule="auto"/>
      </w:pPr>
      <w:r>
        <w:rPr>
          <w:rStyle w:val="Strong"/>
          <w:rFonts w:eastAsiaTheme="majorEastAsia"/>
        </w:rPr>
        <w:lastRenderedPageBreak/>
        <w:t>Gaps in the Literature</w:t>
      </w:r>
    </w:p>
    <w:p w14:paraId="29EA580D" w14:textId="77777777" w:rsidR="00456F4F" w:rsidRDefault="00456F4F" w:rsidP="00456F4F">
      <w:pPr>
        <w:pStyle w:val="whitespace-pre-wrap"/>
        <w:spacing w:line="480" w:lineRule="auto"/>
      </w:pPr>
      <w:r>
        <w:t>Current gaps include a need for more longitudinal studies and research on CLT's application in modern digital learning environments (Hanham et al., 2023). There is also a need for studies that explore the integration of CLT with other theoretical frameworks and for developing more precise methods for measuring cognitive load in real-time learning environments.</w:t>
      </w:r>
    </w:p>
    <w:p w14:paraId="1E40A6AB" w14:textId="4F2FB3B9" w:rsidR="00456F4F" w:rsidRDefault="00456F4F" w:rsidP="00456F4F">
      <w:pPr>
        <w:pStyle w:val="whitespace-pre-wrap"/>
        <w:spacing w:line="480" w:lineRule="auto"/>
        <w:jc w:val="center"/>
      </w:pPr>
      <w:r>
        <w:rPr>
          <w:rStyle w:val="Strong"/>
          <w:rFonts w:eastAsiaTheme="majorEastAsia"/>
        </w:rPr>
        <w:t>Practical Implications</w:t>
      </w:r>
    </w:p>
    <w:p w14:paraId="3146AD96" w14:textId="77777777" w:rsidR="00456F4F" w:rsidRDefault="00456F4F" w:rsidP="00456F4F">
      <w:pPr>
        <w:pStyle w:val="whitespace-pre-wrap"/>
        <w:spacing w:line="480" w:lineRule="auto"/>
      </w:pPr>
      <w:r>
        <w:rPr>
          <w:rStyle w:val="Strong"/>
          <w:rFonts w:eastAsiaTheme="majorEastAsia"/>
        </w:rPr>
        <w:t>Designing Instruction</w:t>
      </w:r>
    </w:p>
    <w:p w14:paraId="7F7E278F" w14:textId="77777777" w:rsidR="00456F4F" w:rsidRDefault="00456F4F" w:rsidP="00456F4F">
      <w:pPr>
        <w:pStyle w:val="whitespace-pre-wrap"/>
        <w:spacing w:line="480" w:lineRule="auto"/>
      </w:pPr>
      <w:r>
        <w:t>Educators and instructional designers can use CLT principles to create more effective learning experiences by minimizing extraneous load, optimizing intrinsic load, and fostering germane load (Clark &amp; Kimmons, 2023).</w:t>
      </w:r>
    </w:p>
    <w:p w14:paraId="25C09183" w14:textId="77777777" w:rsidR="00456F4F" w:rsidRDefault="00456F4F" w:rsidP="00456F4F">
      <w:pPr>
        <w:pStyle w:val="whitespace-pre-wrap"/>
        <w:spacing w:line="480" w:lineRule="auto"/>
      </w:pPr>
      <w:r>
        <w:rPr>
          <w:rStyle w:val="Strong"/>
          <w:rFonts w:eastAsiaTheme="majorEastAsia"/>
        </w:rPr>
        <w:t>Policy Implications</w:t>
      </w:r>
    </w:p>
    <w:p w14:paraId="679B0C1B" w14:textId="77777777" w:rsidR="00456F4F" w:rsidRDefault="00456F4F" w:rsidP="00456F4F">
      <w:pPr>
        <w:pStyle w:val="whitespace-pre-wrap"/>
        <w:spacing w:line="480" w:lineRule="auto"/>
      </w:pPr>
      <w:r>
        <w:t>Educational policymakers can leverage CLT to inform curriculum development and teacher training programs (</w:t>
      </w:r>
      <w:proofErr w:type="spellStart"/>
      <w:r>
        <w:t>Kalyuga</w:t>
      </w:r>
      <w:proofErr w:type="spellEnd"/>
      <w:r>
        <w:t>, 2011).</w:t>
      </w:r>
    </w:p>
    <w:p w14:paraId="422C4685" w14:textId="74696CE1" w:rsidR="00456F4F" w:rsidRDefault="00456F4F" w:rsidP="00456F4F">
      <w:pPr>
        <w:pStyle w:val="whitespace-pre-wrap"/>
        <w:spacing w:line="480" w:lineRule="auto"/>
      </w:pPr>
      <w:r>
        <w:rPr>
          <w:rStyle w:val="Strong"/>
          <w:rFonts w:eastAsiaTheme="majorEastAsia"/>
        </w:rPr>
        <w:t>Future Directions</w:t>
      </w:r>
    </w:p>
    <w:p w14:paraId="379A2692" w14:textId="77777777" w:rsidR="00456F4F" w:rsidRDefault="00456F4F" w:rsidP="00456F4F">
      <w:pPr>
        <w:pStyle w:val="whitespace-pre-wrap"/>
        <w:spacing w:line="480" w:lineRule="auto"/>
      </w:pPr>
      <w:r>
        <w:t>Future research should explore the integration of CLT with emerging technologies such as virtual reality and AI-based adaptive learning systems (Hanham et al., 2023). Investigating how technology can support CLT principles will be crucial in enhancing learning in digital environments (Clark &amp; Kimmons, 2023).</w:t>
      </w:r>
    </w:p>
    <w:p w14:paraId="2FC6891B" w14:textId="77777777" w:rsidR="00456F4F" w:rsidRDefault="00456F4F" w:rsidP="00456F4F">
      <w:pPr>
        <w:pStyle w:val="whitespace-pre-wrap"/>
        <w:spacing w:line="480" w:lineRule="auto"/>
      </w:pPr>
      <w:r>
        <w:rPr>
          <w:rStyle w:val="Strong"/>
          <w:rFonts w:eastAsiaTheme="majorEastAsia"/>
        </w:rPr>
        <w:t>Development of Real-Time Cognitive Load Measurement Tools</w:t>
      </w:r>
    </w:p>
    <w:p w14:paraId="6E869105" w14:textId="77777777" w:rsidR="00456F4F" w:rsidRDefault="00456F4F" w:rsidP="00456F4F">
      <w:pPr>
        <w:pStyle w:val="whitespace-pre-wrap"/>
        <w:spacing w:line="480" w:lineRule="auto"/>
      </w:pPr>
      <w:r>
        <w:lastRenderedPageBreak/>
        <w:t>Developing more accurate and objective measurement tools, such as physiological sensors or advanced analytics software, would enable educators and researchers to monitor cognitive load dynamically (Taylor et al., 2022).</w:t>
      </w:r>
    </w:p>
    <w:p w14:paraId="3B766035" w14:textId="77777777" w:rsidR="00456F4F" w:rsidRDefault="00456F4F" w:rsidP="00456F4F">
      <w:pPr>
        <w:pStyle w:val="whitespace-pre-wrap"/>
        <w:spacing w:line="480" w:lineRule="auto"/>
      </w:pPr>
      <w:r>
        <w:rPr>
          <w:rStyle w:val="Strong"/>
          <w:rFonts w:eastAsiaTheme="majorEastAsia"/>
        </w:rPr>
        <w:t>Integration with Other Theoretical Frameworks</w:t>
      </w:r>
    </w:p>
    <w:p w14:paraId="4755A09A" w14:textId="77777777" w:rsidR="00456F4F" w:rsidRDefault="00456F4F" w:rsidP="00456F4F">
      <w:pPr>
        <w:pStyle w:val="whitespace-pre-wrap"/>
        <w:spacing w:line="480" w:lineRule="auto"/>
      </w:pPr>
      <w:r>
        <w:t>Integrating CLT with other theoretical frameworks could provide a more comprehensive understanding of learning processes (Hanham et al., 2023).</w:t>
      </w:r>
    </w:p>
    <w:p w14:paraId="3AFF1B7F" w14:textId="1BD72693" w:rsidR="00456F4F" w:rsidRDefault="00456F4F" w:rsidP="00456F4F">
      <w:pPr>
        <w:pStyle w:val="whitespace-pre-wrap"/>
        <w:spacing w:line="480" w:lineRule="auto"/>
        <w:jc w:val="center"/>
      </w:pPr>
      <w:r>
        <w:rPr>
          <w:rStyle w:val="Strong"/>
          <w:rFonts w:eastAsiaTheme="majorEastAsia"/>
        </w:rPr>
        <w:t>Conclusion</w:t>
      </w:r>
    </w:p>
    <w:p w14:paraId="67CEB206" w14:textId="77777777" w:rsidR="00456F4F" w:rsidRDefault="00456F4F" w:rsidP="00456F4F">
      <w:pPr>
        <w:pStyle w:val="whitespace-pre-wrap"/>
        <w:spacing w:line="480" w:lineRule="auto"/>
      </w:pPr>
      <w:r>
        <w:t>CLT remains a vital framework in educational psychology, offering valuable insights for enhancing learning efficiency. Its continued evolution and integration with technology will be essential in addressing the complexities of modern education. By focusing on managing cognitive load, educators and instructional designers can create more effective and engaging learning experiences.</w:t>
      </w:r>
    </w:p>
    <w:p w14:paraId="38376849" w14:textId="40A88CAA" w:rsidR="00456F4F" w:rsidRDefault="00456F4F">
      <w:pPr>
        <w:rPr>
          <w:rFonts w:eastAsia="Times New Roman" w:cs="Times New Roman"/>
          <w:kern w:val="0"/>
          <w14:ligatures w14:val="none"/>
        </w:rPr>
      </w:pPr>
      <w:r>
        <w:br w:type="page"/>
      </w:r>
    </w:p>
    <w:p w14:paraId="766C3E41" w14:textId="77777777" w:rsidR="00456F4F" w:rsidRDefault="00456F4F" w:rsidP="00456F4F">
      <w:pPr>
        <w:spacing w:before="100" w:beforeAutospacing="1" w:after="100" w:afterAutospacing="1" w:line="240" w:lineRule="auto"/>
        <w:jc w:val="center"/>
        <w:outlineLvl w:val="2"/>
        <w:rPr>
          <w:rFonts w:eastAsia="Times New Roman" w:cs="Times New Roman"/>
          <w:b/>
          <w:bCs/>
          <w:kern w:val="0"/>
          <w:sz w:val="27"/>
          <w:szCs w:val="27"/>
          <w14:ligatures w14:val="none"/>
        </w:rPr>
      </w:pPr>
      <w:r w:rsidRPr="008F2BC0">
        <w:rPr>
          <w:rFonts w:eastAsia="Times New Roman" w:cs="Times New Roman"/>
          <w:b/>
          <w:bCs/>
          <w:kern w:val="0"/>
          <w:sz w:val="27"/>
          <w:szCs w:val="27"/>
          <w14:ligatures w14:val="none"/>
        </w:rPr>
        <w:lastRenderedPageBreak/>
        <w:t>References</w:t>
      </w:r>
    </w:p>
    <w:p w14:paraId="319D2E9D"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Baddeley, A. D., &amp; Hitch, G. J. (1994). Developments in the concept of working memory. </w:t>
      </w:r>
      <w:r w:rsidRPr="00D91891">
        <w:rPr>
          <w:rFonts w:eastAsia="Times New Roman" w:cs="Times New Roman"/>
          <w:i/>
          <w:iCs/>
          <w:kern w:val="0"/>
          <w14:ligatures w14:val="none"/>
        </w:rPr>
        <w:t>Neuropsychology</w:t>
      </w:r>
      <w:r w:rsidRPr="00D91891">
        <w:rPr>
          <w:rFonts w:eastAsia="Times New Roman" w:cs="Times New Roman"/>
          <w:kern w:val="0"/>
          <w14:ligatures w14:val="none"/>
        </w:rPr>
        <w:t xml:space="preserve">, </w:t>
      </w:r>
      <w:r w:rsidRPr="00D91891">
        <w:rPr>
          <w:rFonts w:eastAsia="Times New Roman" w:cs="Times New Roman"/>
          <w:i/>
          <w:iCs/>
          <w:kern w:val="0"/>
          <w14:ligatures w14:val="none"/>
        </w:rPr>
        <w:t>8</w:t>
      </w:r>
      <w:r w:rsidRPr="00D91891">
        <w:rPr>
          <w:rFonts w:eastAsia="Times New Roman" w:cs="Times New Roman"/>
          <w:kern w:val="0"/>
          <w14:ligatures w14:val="none"/>
        </w:rPr>
        <w:t xml:space="preserve">(4), 485–493. </w:t>
      </w:r>
      <w:hyperlink r:id="rId5" w:history="1">
        <w:r w:rsidRPr="00D91891">
          <w:rPr>
            <w:rFonts w:eastAsia="Times New Roman" w:cs="Times New Roman"/>
            <w:color w:val="0000FF"/>
            <w:kern w:val="0"/>
            <w:u w:val="single"/>
            <w14:ligatures w14:val="none"/>
          </w:rPr>
          <w:t>https://doi.org/10.1037/0894-4105.8.4.485</w:t>
        </w:r>
      </w:hyperlink>
    </w:p>
    <w:p w14:paraId="7611FF32"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Clark, C., &amp; Kimmons, R. (2023). Cognitive Load Theory. </w:t>
      </w:r>
      <w:proofErr w:type="spellStart"/>
      <w:r w:rsidRPr="00D91891">
        <w:rPr>
          <w:rFonts w:eastAsia="Times New Roman" w:cs="Times New Roman"/>
          <w:i/>
          <w:iCs/>
          <w:kern w:val="0"/>
          <w14:ligatures w14:val="none"/>
        </w:rPr>
        <w:t>EdTechnica</w:t>
      </w:r>
      <w:proofErr w:type="spellEnd"/>
      <w:r w:rsidRPr="00D91891">
        <w:rPr>
          <w:rFonts w:eastAsia="Times New Roman" w:cs="Times New Roman"/>
          <w:kern w:val="0"/>
          <w14:ligatures w14:val="none"/>
        </w:rPr>
        <w:t xml:space="preserve">. </w:t>
      </w:r>
      <w:hyperlink r:id="rId6" w:history="1">
        <w:r w:rsidRPr="00D91891">
          <w:rPr>
            <w:rFonts w:eastAsia="Times New Roman" w:cs="Times New Roman"/>
            <w:color w:val="0000FF"/>
            <w:kern w:val="0"/>
            <w:u w:val="single"/>
            <w14:ligatures w14:val="none"/>
          </w:rPr>
          <w:t>https://doi.org/10.59668/371.12980</w:t>
        </w:r>
      </w:hyperlink>
    </w:p>
    <w:p w14:paraId="2B7809EA"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Hanham, J., Castro‐Alonso, J. C., &amp; Chen, O. (2023). Integrating cognitive load theory with other theories, within and beyond educational psychology. </w:t>
      </w:r>
      <w:r w:rsidRPr="00D91891">
        <w:rPr>
          <w:rFonts w:eastAsia="Times New Roman" w:cs="Times New Roman"/>
          <w:i/>
          <w:iCs/>
          <w:kern w:val="0"/>
          <w14:ligatures w14:val="none"/>
        </w:rPr>
        <w:t>British Journal of Educational Psychology</w:t>
      </w:r>
      <w:r w:rsidRPr="00D91891">
        <w:rPr>
          <w:rFonts w:eastAsia="Times New Roman" w:cs="Times New Roman"/>
          <w:kern w:val="0"/>
          <w14:ligatures w14:val="none"/>
        </w:rPr>
        <w:t xml:space="preserve">, </w:t>
      </w:r>
      <w:r w:rsidRPr="00D91891">
        <w:rPr>
          <w:rFonts w:eastAsia="Times New Roman" w:cs="Times New Roman"/>
          <w:i/>
          <w:iCs/>
          <w:kern w:val="0"/>
          <w14:ligatures w14:val="none"/>
        </w:rPr>
        <w:t>93</w:t>
      </w:r>
      <w:r w:rsidRPr="00D91891">
        <w:rPr>
          <w:rFonts w:eastAsia="Times New Roman" w:cs="Times New Roman"/>
          <w:kern w:val="0"/>
          <w14:ligatures w14:val="none"/>
        </w:rPr>
        <w:t xml:space="preserve">(S2), 239–250. </w:t>
      </w:r>
      <w:hyperlink r:id="rId7" w:history="1">
        <w:r w:rsidRPr="00D91891">
          <w:rPr>
            <w:rFonts w:eastAsia="Times New Roman" w:cs="Times New Roman"/>
            <w:color w:val="0000FF"/>
            <w:kern w:val="0"/>
            <w:u w:val="single"/>
            <w14:ligatures w14:val="none"/>
          </w:rPr>
          <w:t>https://doi.org/10.1111/bjep.12612</w:t>
        </w:r>
      </w:hyperlink>
    </w:p>
    <w:p w14:paraId="37212D73" w14:textId="77777777" w:rsidR="00456F4F" w:rsidRPr="00D91891" w:rsidRDefault="00456F4F" w:rsidP="00456F4F">
      <w:pPr>
        <w:spacing w:after="0" w:line="480" w:lineRule="auto"/>
        <w:ind w:left="480" w:hanging="480"/>
        <w:rPr>
          <w:rFonts w:eastAsia="Times New Roman" w:cs="Times New Roman"/>
          <w:kern w:val="0"/>
          <w14:ligatures w14:val="none"/>
        </w:rPr>
      </w:pPr>
      <w:proofErr w:type="spellStart"/>
      <w:r w:rsidRPr="00D91891">
        <w:rPr>
          <w:rFonts w:eastAsia="Times New Roman" w:cs="Times New Roman"/>
          <w:kern w:val="0"/>
          <w14:ligatures w14:val="none"/>
        </w:rPr>
        <w:t>Kalyuga</w:t>
      </w:r>
      <w:proofErr w:type="spellEnd"/>
      <w:r w:rsidRPr="00D91891">
        <w:rPr>
          <w:rFonts w:eastAsia="Times New Roman" w:cs="Times New Roman"/>
          <w:kern w:val="0"/>
          <w14:ligatures w14:val="none"/>
        </w:rPr>
        <w:t xml:space="preserve">, S. (2011). Cognitive Load Theory: How Many Types of </w:t>
      </w:r>
      <w:proofErr w:type="gramStart"/>
      <w:r w:rsidRPr="00D91891">
        <w:rPr>
          <w:rFonts w:eastAsia="Times New Roman" w:cs="Times New Roman"/>
          <w:kern w:val="0"/>
          <w14:ligatures w14:val="none"/>
        </w:rPr>
        <w:t>Load</w:t>
      </w:r>
      <w:proofErr w:type="gramEnd"/>
      <w:r w:rsidRPr="00D91891">
        <w:rPr>
          <w:rFonts w:eastAsia="Times New Roman" w:cs="Times New Roman"/>
          <w:kern w:val="0"/>
          <w14:ligatures w14:val="none"/>
        </w:rPr>
        <w:t xml:space="preserve"> Does It Really Need? </w:t>
      </w:r>
      <w:r w:rsidRPr="00D91891">
        <w:rPr>
          <w:rFonts w:eastAsia="Times New Roman" w:cs="Times New Roman"/>
          <w:i/>
          <w:iCs/>
          <w:kern w:val="0"/>
          <w14:ligatures w14:val="none"/>
        </w:rPr>
        <w:t>Educational Psychology Review</w:t>
      </w:r>
      <w:r w:rsidRPr="00D91891">
        <w:rPr>
          <w:rFonts w:eastAsia="Times New Roman" w:cs="Times New Roman"/>
          <w:kern w:val="0"/>
          <w14:ligatures w14:val="none"/>
        </w:rPr>
        <w:t xml:space="preserve">, </w:t>
      </w:r>
      <w:r w:rsidRPr="00D91891">
        <w:rPr>
          <w:rFonts w:eastAsia="Times New Roman" w:cs="Times New Roman"/>
          <w:i/>
          <w:iCs/>
          <w:kern w:val="0"/>
          <w14:ligatures w14:val="none"/>
        </w:rPr>
        <w:t>23</w:t>
      </w:r>
      <w:r w:rsidRPr="00D91891">
        <w:rPr>
          <w:rFonts w:eastAsia="Times New Roman" w:cs="Times New Roman"/>
          <w:kern w:val="0"/>
          <w14:ligatures w14:val="none"/>
        </w:rPr>
        <w:t xml:space="preserve">(1), 1–19. </w:t>
      </w:r>
      <w:hyperlink r:id="rId8" w:history="1">
        <w:r w:rsidRPr="00D91891">
          <w:rPr>
            <w:rFonts w:eastAsia="Times New Roman" w:cs="Times New Roman"/>
            <w:color w:val="0000FF"/>
            <w:kern w:val="0"/>
            <w:u w:val="single"/>
            <w14:ligatures w14:val="none"/>
          </w:rPr>
          <w:t>https://doi.org/10.1007/s10648-010-9150-7</w:t>
        </w:r>
      </w:hyperlink>
    </w:p>
    <w:p w14:paraId="0ED96DA5"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Leppink, J., &amp; Van Den Heuvel, A. (2015). The evolution of cognitive load theory and its application to medical education. </w:t>
      </w:r>
      <w:r w:rsidRPr="00D91891">
        <w:rPr>
          <w:rFonts w:eastAsia="Times New Roman" w:cs="Times New Roman"/>
          <w:i/>
          <w:iCs/>
          <w:kern w:val="0"/>
          <w14:ligatures w14:val="none"/>
        </w:rPr>
        <w:t>Perspectives on Medical Education</w:t>
      </w:r>
      <w:r w:rsidRPr="00D91891">
        <w:rPr>
          <w:rFonts w:eastAsia="Times New Roman" w:cs="Times New Roman"/>
          <w:kern w:val="0"/>
          <w14:ligatures w14:val="none"/>
        </w:rPr>
        <w:t xml:space="preserve">, </w:t>
      </w:r>
      <w:r w:rsidRPr="00D91891">
        <w:rPr>
          <w:rFonts w:eastAsia="Times New Roman" w:cs="Times New Roman"/>
          <w:i/>
          <w:iCs/>
          <w:kern w:val="0"/>
          <w14:ligatures w14:val="none"/>
        </w:rPr>
        <w:t>4</w:t>
      </w:r>
      <w:r w:rsidRPr="00D91891">
        <w:rPr>
          <w:rFonts w:eastAsia="Times New Roman" w:cs="Times New Roman"/>
          <w:kern w:val="0"/>
          <w14:ligatures w14:val="none"/>
        </w:rPr>
        <w:t xml:space="preserve">(3), 119–127. </w:t>
      </w:r>
      <w:hyperlink r:id="rId9" w:history="1">
        <w:r w:rsidRPr="00D91891">
          <w:rPr>
            <w:rFonts w:eastAsia="Times New Roman" w:cs="Times New Roman"/>
            <w:color w:val="0000FF"/>
            <w:kern w:val="0"/>
            <w:u w:val="single"/>
            <w14:ligatures w14:val="none"/>
          </w:rPr>
          <w:t>https://doi.org/10.1007/S40037-015-0192-X</w:t>
        </w:r>
      </w:hyperlink>
    </w:p>
    <w:p w14:paraId="465016C0"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Moos, D. C., &amp; Pitton, D. (2014). Student teacher challenges: Using the cognitive load theory as an explanatory lens. </w:t>
      </w:r>
      <w:r w:rsidRPr="00D91891">
        <w:rPr>
          <w:rFonts w:eastAsia="Times New Roman" w:cs="Times New Roman"/>
          <w:i/>
          <w:iCs/>
          <w:kern w:val="0"/>
          <w14:ligatures w14:val="none"/>
        </w:rPr>
        <w:t>Teaching Education</w:t>
      </w:r>
      <w:r w:rsidRPr="00D91891">
        <w:rPr>
          <w:rFonts w:eastAsia="Times New Roman" w:cs="Times New Roman"/>
          <w:kern w:val="0"/>
          <w14:ligatures w14:val="none"/>
        </w:rPr>
        <w:t xml:space="preserve">, </w:t>
      </w:r>
      <w:r w:rsidRPr="00D91891">
        <w:rPr>
          <w:rFonts w:eastAsia="Times New Roman" w:cs="Times New Roman"/>
          <w:i/>
          <w:iCs/>
          <w:kern w:val="0"/>
          <w14:ligatures w14:val="none"/>
        </w:rPr>
        <w:t>25</w:t>
      </w:r>
      <w:r w:rsidRPr="00D91891">
        <w:rPr>
          <w:rFonts w:eastAsia="Times New Roman" w:cs="Times New Roman"/>
          <w:kern w:val="0"/>
          <w14:ligatures w14:val="none"/>
        </w:rPr>
        <w:t xml:space="preserve">(2), 127–141. </w:t>
      </w:r>
      <w:hyperlink r:id="rId10" w:history="1">
        <w:r w:rsidRPr="00D91891">
          <w:rPr>
            <w:rFonts w:eastAsia="Times New Roman" w:cs="Times New Roman"/>
            <w:color w:val="0000FF"/>
            <w:kern w:val="0"/>
            <w:u w:val="single"/>
            <w14:ligatures w14:val="none"/>
          </w:rPr>
          <w:t>https://doi.org/10.1080/10476210.2012.754869</w:t>
        </w:r>
      </w:hyperlink>
    </w:p>
    <w:p w14:paraId="0985AC5B" w14:textId="77777777" w:rsidR="00456F4F" w:rsidRPr="00D91891" w:rsidRDefault="00456F4F" w:rsidP="00456F4F">
      <w:pPr>
        <w:spacing w:after="0" w:line="480" w:lineRule="auto"/>
        <w:ind w:left="480" w:hanging="480"/>
        <w:rPr>
          <w:rFonts w:eastAsia="Times New Roman" w:cs="Times New Roman"/>
          <w:kern w:val="0"/>
          <w14:ligatures w14:val="none"/>
        </w:rPr>
      </w:pPr>
      <w:proofErr w:type="spellStart"/>
      <w:r w:rsidRPr="00D91891">
        <w:rPr>
          <w:rFonts w:eastAsia="Times New Roman" w:cs="Times New Roman"/>
          <w:kern w:val="0"/>
          <w14:ligatures w14:val="none"/>
        </w:rPr>
        <w:t>Paas</w:t>
      </w:r>
      <w:proofErr w:type="spellEnd"/>
      <w:r w:rsidRPr="00D91891">
        <w:rPr>
          <w:rFonts w:eastAsia="Times New Roman" w:cs="Times New Roman"/>
          <w:kern w:val="0"/>
          <w14:ligatures w14:val="none"/>
        </w:rPr>
        <w:t xml:space="preserve">, F., &amp; </w:t>
      </w:r>
      <w:proofErr w:type="spellStart"/>
      <w:r w:rsidRPr="00D91891">
        <w:rPr>
          <w:rFonts w:eastAsia="Times New Roman" w:cs="Times New Roman"/>
          <w:kern w:val="0"/>
          <w14:ligatures w14:val="none"/>
        </w:rPr>
        <w:t>Sweller</w:t>
      </w:r>
      <w:proofErr w:type="spellEnd"/>
      <w:r w:rsidRPr="00D91891">
        <w:rPr>
          <w:rFonts w:eastAsia="Times New Roman" w:cs="Times New Roman"/>
          <w:kern w:val="0"/>
          <w14:ligatures w14:val="none"/>
        </w:rPr>
        <w:t xml:space="preserve">, J. (2021). Implications of Cognitive Load Theory for Multimedia Learning. In R. E. Mayer &amp; L. Fiorella (Eds.), </w:t>
      </w:r>
      <w:r w:rsidRPr="00D91891">
        <w:rPr>
          <w:rFonts w:eastAsia="Times New Roman" w:cs="Times New Roman"/>
          <w:i/>
          <w:iCs/>
          <w:kern w:val="0"/>
          <w14:ligatures w14:val="none"/>
        </w:rPr>
        <w:t>The Cambridge Handbook of Multimedia Learning</w:t>
      </w:r>
      <w:r w:rsidRPr="00D91891">
        <w:rPr>
          <w:rFonts w:eastAsia="Times New Roman" w:cs="Times New Roman"/>
          <w:kern w:val="0"/>
          <w14:ligatures w14:val="none"/>
        </w:rPr>
        <w:t xml:space="preserve"> (3rd ed., pp. 73–81). Cambridge University Press. </w:t>
      </w:r>
      <w:hyperlink r:id="rId11" w:history="1">
        <w:r w:rsidRPr="00D91891">
          <w:rPr>
            <w:rFonts w:eastAsia="Times New Roman" w:cs="Times New Roman"/>
            <w:color w:val="0000FF"/>
            <w:kern w:val="0"/>
            <w:u w:val="single"/>
            <w14:ligatures w14:val="none"/>
          </w:rPr>
          <w:t>https://doi.org/10.1017/9781108894333.009</w:t>
        </w:r>
      </w:hyperlink>
    </w:p>
    <w:p w14:paraId="6831C20C" w14:textId="77777777" w:rsidR="00456F4F" w:rsidRPr="00D91891" w:rsidRDefault="00456F4F" w:rsidP="00456F4F">
      <w:pPr>
        <w:spacing w:after="0" w:line="480" w:lineRule="auto"/>
        <w:ind w:left="480" w:hanging="480"/>
        <w:rPr>
          <w:rFonts w:eastAsia="Times New Roman" w:cs="Times New Roman"/>
          <w:kern w:val="0"/>
          <w14:ligatures w14:val="none"/>
        </w:rPr>
      </w:pPr>
      <w:proofErr w:type="spellStart"/>
      <w:r w:rsidRPr="00D91891">
        <w:rPr>
          <w:rFonts w:eastAsia="Times New Roman" w:cs="Times New Roman"/>
          <w:kern w:val="0"/>
          <w14:ligatures w14:val="none"/>
        </w:rPr>
        <w:t>Sweller</w:t>
      </w:r>
      <w:proofErr w:type="spellEnd"/>
      <w:r w:rsidRPr="00D91891">
        <w:rPr>
          <w:rFonts w:eastAsia="Times New Roman" w:cs="Times New Roman"/>
          <w:kern w:val="0"/>
          <w14:ligatures w14:val="none"/>
        </w:rPr>
        <w:t xml:space="preserve">, J. (2023). Cognitive load theory. In </w:t>
      </w:r>
      <w:r w:rsidRPr="00D91891">
        <w:rPr>
          <w:rFonts w:eastAsia="Times New Roman" w:cs="Times New Roman"/>
          <w:i/>
          <w:iCs/>
          <w:kern w:val="0"/>
          <w14:ligatures w14:val="none"/>
        </w:rPr>
        <w:t xml:space="preserve">International Encyclopedia of </w:t>
      </w:r>
      <w:proofErr w:type="gramStart"/>
      <w:r w:rsidRPr="00D91891">
        <w:rPr>
          <w:rFonts w:eastAsia="Times New Roman" w:cs="Times New Roman"/>
          <w:i/>
          <w:iCs/>
          <w:kern w:val="0"/>
          <w14:ligatures w14:val="none"/>
        </w:rPr>
        <w:t>Education(</w:t>
      </w:r>
      <w:proofErr w:type="gramEnd"/>
      <w:r w:rsidRPr="00D91891">
        <w:rPr>
          <w:rFonts w:eastAsia="Times New Roman" w:cs="Times New Roman"/>
          <w:i/>
          <w:iCs/>
          <w:kern w:val="0"/>
          <w14:ligatures w14:val="none"/>
        </w:rPr>
        <w:t>Fourth Edition)</w:t>
      </w:r>
      <w:r w:rsidRPr="00D91891">
        <w:rPr>
          <w:rFonts w:eastAsia="Times New Roman" w:cs="Times New Roman"/>
          <w:kern w:val="0"/>
          <w14:ligatures w14:val="none"/>
        </w:rPr>
        <w:t xml:space="preserve"> (pp. 127–134). Elsevier. </w:t>
      </w:r>
      <w:hyperlink r:id="rId12" w:history="1">
        <w:r w:rsidRPr="00D91891">
          <w:rPr>
            <w:rFonts w:eastAsia="Times New Roman" w:cs="Times New Roman"/>
            <w:color w:val="0000FF"/>
            <w:kern w:val="0"/>
            <w:u w:val="single"/>
            <w14:ligatures w14:val="none"/>
          </w:rPr>
          <w:t>https://doi.org/10.1016/B978-0-12-818630-5.14020-5</w:t>
        </w:r>
      </w:hyperlink>
    </w:p>
    <w:p w14:paraId="57EE3FE4" w14:textId="77777777" w:rsidR="00456F4F" w:rsidRPr="00D91891" w:rsidRDefault="00456F4F" w:rsidP="00456F4F">
      <w:pPr>
        <w:spacing w:after="0" w:line="480" w:lineRule="auto"/>
        <w:ind w:left="480" w:hanging="480"/>
        <w:rPr>
          <w:rFonts w:eastAsia="Times New Roman" w:cs="Times New Roman"/>
          <w:kern w:val="0"/>
          <w14:ligatures w14:val="none"/>
        </w:rPr>
      </w:pPr>
      <w:proofErr w:type="spellStart"/>
      <w:r w:rsidRPr="00D91891">
        <w:rPr>
          <w:rFonts w:eastAsia="Times New Roman" w:cs="Times New Roman"/>
          <w:kern w:val="0"/>
          <w14:ligatures w14:val="none"/>
        </w:rPr>
        <w:lastRenderedPageBreak/>
        <w:t>Sweller</w:t>
      </w:r>
      <w:proofErr w:type="spellEnd"/>
      <w:r w:rsidRPr="00D91891">
        <w:rPr>
          <w:rFonts w:eastAsia="Times New Roman" w:cs="Times New Roman"/>
          <w:kern w:val="0"/>
          <w14:ligatures w14:val="none"/>
        </w:rPr>
        <w:t xml:space="preserve">, J. (2024a). Cognitive load theory and individual differences. </w:t>
      </w:r>
      <w:r w:rsidRPr="00D91891">
        <w:rPr>
          <w:rFonts w:eastAsia="Times New Roman" w:cs="Times New Roman"/>
          <w:i/>
          <w:iCs/>
          <w:kern w:val="0"/>
          <w14:ligatures w14:val="none"/>
        </w:rPr>
        <w:t>Learning and Individual Differences</w:t>
      </w:r>
      <w:r w:rsidRPr="00D91891">
        <w:rPr>
          <w:rFonts w:eastAsia="Times New Roman" w:cs="Times New Roman"/>
          <w:kern w:val="0"/>
          <w14:ligatures w14:val="none"/>
        </w:rPr>
        <w:t xml:space="preserve">, </w:t>
      </w:r>
      <w:r w:rsidRPr="00D91891">
        <w:rPr>
          <w:rFonts w:eastAsia="Times New Roman" w:cs="Times New Roman"/>
          <w:i/>
          <w:iCs/>
          <w:kern w:val="0"/>
          <w14:ligatures w14:val="none"/>
        </w:rPr>
        <w:t>110</w:t>
      </w:r>
      <w:r w:rsidRPr="00D91891">
        <w:rPr>
          <w:rFonts w:eastAsia="Times New Roman" w:cs="Times New Roman"/>
          <w:kern w:val="0"/>
          <w14:ligatures w14:val="none"/>
        </w:rPr>
        <w:t xml:space="preserve">, 102423. </w:t>
      </w:r>
      <w:hyperlink r:id="rId13" w:history="1">
        <w:r w:rsidRPr="00D91891">
          <w:rPr>
            <w:rFonts w:eastAsia="Times New Roman" w:cs="Times New Roman"/>
            <w:color w:val="0000FF"/>
            <w:kern w:val="0"/>
            <w:u w:val="single"/>
            <w14:ligatures w14:val="none"/>
          </w:rPr>
          <w:t>https://doi.org/10.1016/j.lindif.2024.102423</w:t>
        </w:r>
      </w:hyperlink>
    </w:p>
    <w:p w14:paraId="6A15FF7E" w14:textId="77777777" w:rsidR="00456F4F" w:rsidRPr="00D91891" w:rsidRDefault="00456F4F" w:rsidP="00456F4F">
      <w:pPr>
        <w:spacing w:after="0" w:line="480" w:lineRule="auto"/>
        <w:ind w:left="480" w:hanging="480"/>
        <w:rPr>
          <w:rFonts w:eastAsia="Times New Roman" w:cs="Times New Roman"/>
          <w:kern w:val="0"/>
          <w14:ligatures w14:val="none"/>
        </w:rPr>
      </w:pPr>
      <w:proofErr w:type="spellStart"/>
      <w:r w:rsidRPr="00D91891">
        <w:rPr>
          <w:rFonts w:eastAsia="Times New Roman" w:cs="Times New Roman"/>
          <w:kern w:val="0"/>
          <w14:ligatures w14:val="none"/>
        </w:rPr>
        <w:t>Sweller</w:t>
      </w:r>
      <w:proofErr w:type="spellEnd"/>
      <w:r w:rsidRPr="00D91891">
        <w:rPr>
          <w:rFonts w:eastAsia="Times New Roman" w:cs="Times New Roman"/>
          <w:kern w:val="0"/>
          <w14:ligatures w14:val="none"/>
        </w:rPr>
        <w:t xml:space="preserve">, J. (2024b). Cognitive load theory and the curriculum. In E. Rata (Ed.), </w:t>
      </w:r>
      <w:r w:rsidRPr="00D91891">
        <w:rPr>
          <w:rFonts w:eastAsia="Times New Roman" w:cs="Times New Roman"/>
          <w:i/>
          <w:iCs/>
          <w:kern w:val="0"/>
          <w14:ligatures w14:val="none"/>
        </w:rPr>
        <w:t>Research Handbook on Curriculum and Education</w:t>
      </w:r>
      <w:r w:rsidRPr="00D91891">
        <w:rPr>
          <w:rFonts w:eastAsia="Times New Roman" w:cs="Times New Roman"/>
          <w:kern w:val="0"/>
          <w14:ligatures w14:val="none"/>
        </w:rPr>
        <w:t xml:space="preserve"> (pp. 155–166). Edward Elgar Publishing. </w:t>
      </w:r>
      <w:hyperlink r:id="rId14" w:history="1">
        <w:r w:rsidRPr="00D91891">
          <w:rPr>
            <w:rFonts w:eastAsia="Times New Roman" w:cs="Times New Roman"/>
            <w:color w:val="0000FF"/>
            <w:kern w:val="0"/>
            <w:u w:val="single"/>
            <w14:ligatures w14:val="none"/>
          </w:rPr>
          <w:t>https://doi.org/10.4337/9781802208542.00017</w:t>
        </w:r>
      </w:hyperlink>
    </w:p>
    <w:p w14:paraId="68F773AA"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Taylor, T. A. H., Kamel-ElSayed, S., Grogan, J. F., Hajj Hussein, I., </w:t>
      </w:r>
      <w:proofErr w:type="spellStart"/>
      <w:r w:rsidRPr="00D91891">
        <w:rPr>
          <w:rFonts w:eastAsia="Times New Roman" w:cs="Times New Roman"/>
          <w:kern w:val="0"/>
          <w14:ligatures w14:val="none"/>
        </w:rPr>
        <w:t>Lerchenfeldt</w:t>
      </w:r>
      <w:proofErr w:type="spellEnd"/>
      <w:r w:rsidRPr="00D91891">
        <w:rPr>
          <w:rFonts w:eastAsia="Times New Roman" w:cs="Times New Roman"/>
          <w:kern w:val="0"/>
          <w14:ligatures w14:val="none"/>
        </w:rPr>
        <w:t xml:space="preserve">, S., &amp; </w:t>
      </w:r>
      <w:proofErr w:type="spellStart"/>
      <w:r w:rsidRPr="00D91891">
        <w:rPr>
          <w:rFonts w:eastAsia="Times New Roman" w:cs="Times New Roman"/>
          <w:kern w:val="0"/>
          <w14:ligatures w14:val="none"/>
        </w:rPr>
        <w:t>Mohiyeddini</w:t>
      </w:r>
      <w:proofErr w:type="spellEnd"/>
      <w:r w:rsidRPr="00D91891">
        <w:rPr>
          <w:rFonts w:eastAsia="Times New Roman" w:cs="Times New Roman"/>
          <w:kern w:val="0"/>
          <w14:ligatures w14:val="none"/>
        </w:rPr>
        <w:t xml:space="preserve">, C. (2022). Teaching in Uncertain Times: Expanding the Scope of Extraneous Cognitive Load in the Cognitive Load Theory. </w:t>
      </w:r>
      <w:r w:rsidRPr="00D91891">
        <w:rPr>
          <w:rFonts w:eastAsia="Times New Roman" w:cs="Times New Roman"/>
          <w:i/>
          <w:iCs/>
          <w:kern w:val="0"/>
          <w14:ligatures w14:val="none"/>
        </w:rPr>
        <w:t>Frontiers in Psychology</w:t>
      </w:r>
      <w:r w:rsidRPr="00D91891">
        <w:rPr>
          <w:rFonts w:eastAsia="Times New Roman" w:cs="Times New Roman"/>
          <w:kern w:val="0"/>
          <w14:ligatures w14:val="none"/>
        </w:rPr>
        <w:t xml:space="preserve">, </w:t>
      </w:r>
      <w:r w:rsidRPr="00D91891">
        <w:rPr>
          <w:rFonts w:eastAsia="Times New Roman" w:cs="Times New Roman"/>
          <w:i/>
          <w:iCs/>
          <w:kern w:val="0"/>
          <w14:ligatures w14:val="none"/>
        </w:rPr>
        <w:t>13</w:t>
      </w:r>
      <w:r w:rsidRPr="00D91891">
        <w:rPr>
          <w:rFonts w:eastAsia="Times New Roman" w:cs="Times New Roman"/>
          <w:kern w:val="0"/>
          <w14:ligatures w14:val="none"/>
        </w:rPr>
        <w:t xml:space="preserve">, 665835. </w:t>
      </w:r>
      <w:hyperlink r:id="rId15" w:history="1">
        <w:r w:rsidRPr="00D91891">
          <w:rPr>
            <w:rFonts w:eastAsia="Times New Roman" w:cs="Times New Roman"/>
            <w:color w:val="0000FF"/>
            <w:kern w:val="0"/>
            <w:u w:val="single"/>
            <w14:ligatures w14:val="none"/>
          </w:rPr>
          <w:t>https://doi.org/10.3389/fpsyg.2022.665835</w:t>
        </w:r>
      </w:hyperlink>
    </w:p>
    <w:p w14:paraId="781D3A5D"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Tindall-Ford, S., Agostinho, S., &amp; </w:t>
      </w:r>
      <w:proofErr w:type="spellStart"/>
      <w:r w:rsidRPr="00D91891">
        <w:rPr>
          <w:rFonts w:eastAsia="Times New Roman" w:cs="Times New Roman"/>
          <w:kern w:val="0"/>
          <w14:ligatures w14:val="none"/>
        </w:rPr>
        <w:t>Sweller</w:t>
      </w:r>
      <w:proofErr w:type="spellEnd"/>
      <w:r w:rsidRPr="00D91891">
        <w:rPr>
          <w:rFonts w:eastAsia="Times New Roman" w:cs="Times New Roman"/>
          <w:kern w:val="0"/>
          <w14:ligatures w14:val="none"/>
        </w:rPr>
        <w:t xml:space="preserve">, J. (Eds.). (2019). </w:t>
      </w:r>
      <w:r w:rsidRPr="00D91891">
        <w:rPr>
          <w:rFonts w:eastAsia="Times New Roman" w:cs="Times New Roman"/>
          <w:i/>
          <w:iCs/>
          <w:kern w:val="0"/>
          <w14:ligatures w14:val="none"/>
        </w:rPr>
        <w:t>Advances in Cognitive Load Theory: Rethinking Teaching</w:t>
      </w:r>
      <w:r w:rsidRPr="00D91891">
        <w:rPr>
          <w:rFonts w:eastAsia="Times New Roman" w:cs="Times New Roman"/>
          <w:kern w:val="0"/>
          <w14:ligatures w14:val="none"/>
        </w:rPr>
        <w:t xml:space="preserve"> (1st ed.). Routledge. </w:t>
      </w:r>
      <w:hyperlink r:id="rId16" w:history="1">
        <w:r w:rsidRPr="00D91891">
          <w:rPr>
            <w:rFonts w:eastAsia="Times New Roman" w:cs="Times New Roman"/>
            <w:color w:val="0000FF"/>
            <w:kern w:val="0"/>
            <w:u w:val="single"/>
            <w14:ligatures w14:val="none"/>
          </w:rPr>
          <w:t>https://doi.org/10.4324/9780429283895</w:t>
        </w:r>
      </w:hyperlink>
    </w:p>
    <w:p w14:paraId="1454FA6C"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Young, J. Q., Van </w:t>
      </w:r>
      <w:proofErr w:type="spellStart"/>
      <w:r w:rsidRPr="00D91891">
        <w:rPr>
          <w:rFonts w:eastAsia="Times New Roman" w:cs="Times New Roman"/>
          <w:kern w:val="0"/>
          <w14:ligatures w14:val="none"/>
        </w:rPr>
        <w:t>Merrienboer</w:t>
      </w:r>
      <w:proofErr w:type="spellEnd"/>
      <w:r w:rsidRPr="00D91891">
        <w:rPr>
          <w:rFonts w:eastAsia="Times New Roman" w:cs="Times New Roman"/>
          <w:kern w:val="0"/>
          <w14:ligatures w14:val="none"/>
        </w:rPr>
        <w:t xml:space="preserve">, J., Durning, S., &amp; Ten Cate, O. (2014a). Cognitive Load Theory: Implications for medical education: AMEE Guide No. 86. </w:t>
      </w:r>
      <w:r w:rsidRPr="00D91891">
        <w:rPr>
          <w:rFonts w:eastAsia="Times New Roman" w:cs="Times New Roman"/>
          <w:i/>
          <w:iCs/>
          <w:kern w:val="0"/>
          <w14:ligatures w14:val="none"/>
        </w:rPr>
        <w:t>Medical Teacher</w:t>
      </w:r>
      <w:r w:rsidRPr="00D91891">
        <w:rPr>
          <w:rFonts w:eastAsia="Times New Roman" w:cs="Times New Roman"/>
          <w:kern w:val="0"/>
          <w14:ligatures w14:val="none"/>
        </w:rPr>
        <w:t xml:space="preserve">, </w:t>
      </w:r>
      <w:r w:rsidRPr="00D91891">
        <w:rPr>
          <w:rFonts w:eastAsia="Times New Roman" w:cs="Times New Roman"/>
          <w:i/>
          <w:iCs/>
          <w:kern w:val="0"/>
          <w14:ligatures w14:val="none"/>
        </w:rPr>
        <w:t>36</w:t>
      </w:r>
      <w:r w:rsidRPr="00D91891">
        <w:rPr>
          <w:rFonts w:eastAsia="Times New Roman" w:cs="Times New Roman"/>
          <w:kern w:val="0"/>
          <w14:ligatures w14:val="none"/>
        </w:rPr>
        <w:t xml:space="preserve">(5), 371–384. </w:t>
      </w:r>
      <w:hyperlink r:id="rId17" w:history="1">
        <w:r w:rsidRPr="00D91891">
          <w:rPr>
            <w:rFonts w:eastAsia="Times New Roman" w:cs="Times New Roman"/>
            <w:color w:val="0000FF"/>
            <w:kern w:val="0"/>
            <w:u w:val="single"/>
            <w14:ligatures w14:val="none"/>
          </w:rPr>
          <w:t>https://doi.org/10.3109/0142159X.2014.889290</w:t>
        </w:r>
      </w:hyperlink>
    </w:p>
    <w:p w14:paraId="1B17C5CC" w14:textId="77777777" w:rsidR="00456F4F" w:rsidRPr="00D91891" w:rsidRDefault="00456F4F" w:rsidP="00456F4F">
      <w:pPr>
        <w:spacing w:after="0" w:line="480" w:lineRule="auto"/>
        <w:ind w:left="480" w:hanging="480"/>
        <w:rPr>
          <w:rFonts w:eastAsia="Times New Roman" w:cs="Times New Roman"/>
          <w:kern w:val="0"/>
          <w14:ligatures w14:val="none"/>
        </w:rPr>
      </w:pPr>
      <w:r w:rsidRPr="00D91891">
        <w:rPr>
          <w:rFonts w:eastAsia="Times New Roman" w:cs="Times New Roman"/>
          <w:kern w:val="0"/>
          <w14:ligatures w14:val="none"/>
        </w:rPr>
        <w:t xml:space="preserve">Young, J. Q., Van </w:t>
      </w:r>
      <w:proofErr w:type="spellStart"/>
      <w:r w:rsidRPr="00D91891">
        <w:rPr>
          <w:rFonts w:eastAsia="Times New Roman" w:cs="Times New Roman"/>
          <w:kern w:val="0"/>
          <w14:ligatures w14:val="none"/>
        </w:rPr>
        <w:t>Merrienboer</w:t>
      </w:r>
      <w:proofErr w:type="spellEnd"/>
      <w:r w:rsidRPr="00D91891">
        <w:rPr>
          <w:rFonts w:eastAsia="Times New Roman" w:cs="Times New Roman"/>
          <w:kern w:val="0"/>
          <w14:ligatures w14:val="none"/>
        </w:rPr>
        <w:t xml:space="preserve">, J., Durning, S., &amp; Ten Cate, O. (2014b). Cognitive Load Theory: Implications for medical education: AMEE Guide No. 86. </w:t>
      </w:r>
      <w:r w:rsidRPr="00D91891">
        <w:rPr>
          <w:rFonts w:eastAsia="Times New Roman" w:cs="Times New Roman"/>
          <w:i/>
          <w:iCs/>
          <w:kern w:val="0"/>
          <w14:ligatures w14:val="none"/>
        </w:rPr>
        <w:t>Medical Teacher</w:t>
      </w:r>
      <w:r w:rsidRPr="00D91891">
        <w:rPr>
          <w:rFonts w:eastAsia="Times New Roman" w:cs="Times New Roman"/>
          <w:kern w:val="0"/>
          <w14:ligatures w14:val="none"/>
        </w:rPr>
        <w:t xml:space="preserve">, </w:t>
      </w:r>
      <w:r w:rsidRPr="00D91891">
        <w:rPr>
          <w:rFonts w:eastAsia="Times New Roman" w:cs="Times New Roman"/>
          <w:i/>
          <w:iCs/>
          <w:kern w:val="0"/>
          <w14:ligatures w14:val="none"/>
        </w:rPr>
        <w:t>36</w:t>
      </w:r>
      <w:r w:rsidRPr="00D91891">
        <w:rPr>
          <w:rFonts w:eastAsia="Times New Roman" w:cs="Times New Roman"/>
          <w:kern w:val="0"/>
          <w14:ligatures w14:val="none"/>
        </w:rPr>
        <w:t xml:space="preserve">(5), 371–384. </w:t>
      </w:r>
      <w:hyperlink r:id="rId18" w:history="1">
        <w:r w:rsidRPr="00D91891">
          <w:rPr>
            <w:rFonts w:eastAsia="Times New Roman" w:cs="Times New Roman"/>
            <w:color w:val="0000FF"/>
            <w:kern w:val="0"/>
            <w:u w:val="single"/>
            <w14:ligatures w14:val="none"/>
          </w:rPr>
          <w:t>https://doi.org/10.3109/0142159X.2014.889290</w:t>
        </w:r>
      </w:hyperlink>
    </w:p>
    <w:p w14:paraId="1D292EED" w14:textId="77777777" w:rsidR="00456F4F" w:rsidRDefault="00456F4F" w:rsidP="00456F4F">
      <w:pPr>
        <w:pStyle w:val="whitespace-pre-wrap"/>
        <w:spacing w:line="480" w:lineRule="auto"/>
      </w:pPr>
    </w:p>
    <w:p w14:paraId="0C1D9106" w14:textId="77777777" w:rsidR="009635CB" w:rsidRDefault="009635CB" w:rsidP="00456F4F">
      <w:pPr>
        <w:spacing w:before="100" w:beforeAutospacing="1" w:after="100" w:afterAutospacing="1" w:line="480" w:lineRule="auto"/>
      </w:pPr>
    </w:p>
    <w:sectPr w:rsidR="0096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32E69"/>
    <w:multiLevelType w:val="multilevel"/>
    <w:tmpl w:val="81A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1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4F"/>
    <w:rsid w:val="003F0FAB"/>
    <w:rsid w:val="00456F4F"/>
    <w:rsid w:val="007E1057"/>
    <w:rsid w:val="009635CB"/>
    <w:rsid w:val="009C7013"/>
    <w:rsid w:val="00BC74F9"/>
    <w:rsid w:val="00D53C42"/>
    <w:rsid w:val="00F0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A548A"/>
  <w15:chartTrackingRefBased/>
  <w15:docId w15:val="{0B213F03-AAB4-4930-A288-DD403723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F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F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6F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6F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6F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6F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6F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F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F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6F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6F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6F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6F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6F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6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F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F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6F4F"/>
    <w:pPr>
      <w:spacing w:before="160"/>
      <w:jc w:val="center"/>
    </w:pPr>
    <w:rPr>
      <w:i/>
      <w:iCs/>
      <w:color w:val="404040" w:themeColor="text1" w:themeTint="BF"/>
    </w:rPr>
  </w:style>
  <w:style w:type="character" w:customStyle="1" w:styleId="QuoteChar">
    <w:name w:val="Quote Char"/>
    <w:basedOn w:val="DefaultParagraphFont"/>
    <w:link w:val="Quote"/>
    <w:uiPriority w:val="29"/>
    <w:rsid w:val="00456F4F"/>
    <w:rPr>
      <w:i/>
      <w:iCs/>
      <w:color w:val="404040" w:themeColor="text1" w:themeTint="BF"/>
    </w:rPr>
  </w:style>
  <w:style w:type="paragraph" w:styleId="ListParagraph">
    <w:name w:val="List Paragraph"/>
    <w:basedOn w:val="Normal"/>
    <w:uiPriority w:val="34"/>
    <w:qFormat/>
    <w:rsid w:val="00456F4F"/>
    <w:pPr>
      <w:ind w:left="720"/>
      <w:contextualSpacing/>
    </w:pPr>
  </w:style>
  <w:style w:type="character" w:styleId="IntenseEmphasis">
    <w:name w:val="Intense Emphasis"/>
    <w:basedOn w:val="DefaultParagraphFont"/>
    <w:uiPriority w:val="21"/>
    <w:qFormat/>
    <w:rsid w:val="00456F4F"/>
    <w:rPr>
      <w:i/>
      <w:iCs/>
      <w:color w:val="0F4761" w:themeColor="accent1" w:themeShade="BF"/>
    </w:rPr>
  </w:style>
  <w:style w:type="paragraph" w:styleId="IntenseQuote">
    <w:name w:val="Intense Quote"/>
    <w:basedOn w:val="Normal"/>
    <w:next w:val="Normal"/>
    <w:link w:val="IntenseQuoteChar"/>
    <w:uiPriority w:val="30"/>
    <w:qFormat/>
    <w:rsid w:val="00456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F4F"/>
    <w:rPr>
      <w:i/>
      <w:iCs/>
      <w:color w:val="0F4761" w:themeColor="accent1" w:themeShade="BF"/>
    </w:rPr>
  </w:style>
  <w:style w:type="character" w:styleId="IntenseReference">
    <w:name w:val="Intense Reference"/>
    <w:basedOn w:val="DefaultParagraphFont"/>
    <w:uiPriority w:val="32"/>
    <w:qFormat/>
    <w:rsid w:val="00456F4F"/>
    <w:rPr>
      <w:b/>
      <w:bCs/>
      <w:smallCaps/>
      <w:color w:val="0F4761" w:themeColor="accent1" w:themeShade="BF"/>
      <w:spacing w:val="5"/>
    </w:rPr>
  </w:style>
  <w:style w:type="paragraph" w:customStyle="1" w:styleId="whitespace-pre-wrap">
    <w:name w:val="whitespace-pre-wrap"/>
    <w:basedOn w:val="Normal"/>
    <w:rsid w:val="00456F4F"/>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456F4F"/>
    <w:rPr>
      <w:b/>
      <w:bCs/>
    </w:rPr>
  </w:style>
  <w:style w:type="paragraph" w:customStyle="1" w:styleId="whitespace-normal">
    <w:name w:val="whitespace-normal"/>
    <w:basedOn w:val="Normal"/>
    <w:rsid w:val="00456F4F"/>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11825">
      <w:bodyDiv w:val="1"/>
      <w:marLeft w:val="0"/>
      <w:marRight w:val="0"/>
      <w:marTop w:val="0"/>
      <w:marBottom w:val="0"/>
      <w:divBdr>
        <w:top w:val="none" w:sz="0" w:space="0" w:color="auto"/>
        <w:left w:val="none" w:sz="0" w:space="0" w:color="auto"/>
        <w:bottom w:val="none" w:sz="0" w:space="0" w:color="auto"/>
        <w:right w:val="none" w:sz="0" w:space="0" w:color="auto"/>
      </w:divBdr>
    </w:div>
    <w:div w:id="1852068306">
      <w:bodyDiv w:val="1"/>
      <w:marLeft w:val="0"/>
      <w:marRight w:val="0"/>
      <w:marTop w:val="0"/>
      <w:marBottom w:val="0"/>
      <w:divBdr>
        <w:top w:val="none" w:sz="0" w:space="0" w:color="auto"/>
        <w:left w:val="none" w:sz="0" w:space="0" w:color="auto"/>
        <w:bottom w:val="none" w:sz="0" w:space="0" w:color="auto"/>
        <w:right w:val="none" w:sz="0" w:space="0" w:color="auto"/>
      </w:divBdr>
    </w:div>
    <w:div w:id="21119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8-010-9150-7" TargetMode="External"/><Relationship Id="rId13" Type="http://schemas.openxmlformats.org/officeDocument/2006/relationships/hyperlink" Target="https://doi.org/10.1016/j.lindif.2024.102423" TargetMode="External"/><Relationship Id="rId18" Type="http://schemas.openxmlformats.org/officeDocument/2006/relationships/hyperlink" Target="https://doi.org/10.3109/0142159X.2014.889290" TargetMode="External"/><Relationship Id="rId3" Type="http://schemas.openxmlformats.org/officeDocument/2006/relationships/settings" Target="settings.xml"/><Relationship Id="rId7" Type="http://schemas.openxmlformats.org/officeDocument/2006/relationships/hyperlink" Target="https://doi.org/10.1111/bjep.12612" TargetMode="External"/><Relationship Id="rId12" Type="http://schemas.openxmlformats.org/officeDocument/2006/relationships/hyperlink" Target="https://doi.org/10.1016/B978-0-12-818630-5.14020-5" TargetMode="External"/><Relationship Id="rId17" Type="http://schemas.openxmlformats.org/officeDocument/2006/relationships/hyperlink" Target="https://doi.org/10.3109/0142159X.2014.889290" TargetMode="External"/><Relationship Id="rId2" Type="http://schemas.openxmlformats.org/officeDocument/2006/relationships/styles" Target="styles.xml"/><Relationship Id="rId16" Type="http://schemas.openxmlformats.org/officeDocument/2006/relationships/hyperlink" Target="https://doi.org/10.4324/97804292838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59668/371.12980" TargetMode="External"/><Relationship Id="rId11" Type="http://schemas.openxmlformats.org/officeDocument/2006/relationships/hyperlink" Target="https://doi.org/10.1017/9781108894333.009" TargetMode="External"/><Relationship Id="rId5" Type="http://schemas.openxmlformats.org/officeDocument/2006/relationships/hyperlink" Target="https://doi.org/10.1037/0894-4105.8.4.485" TargetMode="External"/><Relationship Id="rId15" Type="http://schemas.openxmlformats.org/officeDocument/2006/relationships/hyperlink" Target="https://doi.org/10.3389/fpsyg.2022.665835" TargetMode="External"/><Relationship Id="rId10" Type="http://schemas.openxmlformats.org/officeDocument/2006/relationships/hyperlink" Target="https://doi.org/10.1080/10476210.2012.7548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40037-015-0192-X" TargetMode="External"/><Relationship Id="rId14" Type="http://schemas.openxmlformats.org/officeDocument/2006/relationships/hyperlink" Target="https://doi.org/10.4337/9781802208542.0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9</Pages>
  <Words>1302</Words>
  <Characters>8754</Characters>
  <Application>Microsoft Office Word</Application>
  <DocSecurity>0</DocSecurity>
  <Lines>160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Marcus</dc:creator>
  <cp:keywords/>
  <dc:description/>
  <cp:lastModifiedBy>Taylor, Marcus</cp:lastModifiedBy>
  <cp:revision>2</cp:revision>
  <dcterms:created xsi:type="dcterms:W3CDTF">2024-07-21T22:19:00Z</dcterms:created>
  <dcterms:modified xsi:type="dcterms:W3CDTF">2024-12-23T17:48:00Z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98991d33689df36acb81ff7b1e4018a2c485ce1ea159534a204349686bd5a510</vt:lpwstr>
  </property>
</Properties>
</file>